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F-746/2020 vom 13. Februar 2020</w:t>
      </w:r>
    </w:p>
    <w:p>
      <w:r>
        <w:t>Bundesverwaltungsgericht, 2020-02-13, FR</w:t>
      </w:r>
    </w:p>
    <w:p>
      <w:r>
        <w:rPr>
          <w:b/>
        </w:rPr>
        <w:t xml:space="preserve">Quelle: </w:t>
      </w:r>
      <w:r>
        <w:t>https://mcp.opencaselaw.ch/entscheid/bvger_F-746_2020</w:t>
      </w:r>
    </w:p>
    <w:p>
      <w:r>
        <w:t>FR: TAF F-746/2020 du 13 février 2020</w:t>
      </w:r>
    </w:p>
    <w:p>
      <w:r>
        <w:t>IT: TAF F-746/2020 del 13 febbraio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la requérante cherche à se protéger (art. 105 en relation avec l'art. 6a al. 1 LAsi ; art. 33 let. d LTAF et art. 83 let. d ch. 1 LTF), exception non réalisée en l'espèce.</w:t>
      </w:r>
    </w:p>
    <w:p>
      <w:r>
        <w:rPr>
          <w:b/>
        </w:rPr>
        <w:t>E. 1.2</w:t>
      </w:r>
    </w:p>
    <w:p>
      <w:r>
        <w:t>A moins que la LAsi n'en dispose autrement, la procédure devant le Tribunal est régie par la PA, la LTAF et la LTF (cf. art. 6 LAsi et art. 37 LTAF).</w:t>
      </w:r>
    </w:p>
    <w:p>
      <w:r>
        <w:rPr>
          <w:b/>
        </w:rPr>
        <w:t>E. 1.3</w:t>
      </w:r>
    </w:p>
    <w:p>
      <w:r>
        <w:t>La recourante a qualité pour recourir (cf. art. 48 al. 1 PA, applicable par renvoi de l'art. 37 LTAF). Présenté dans la forme (art. 52 al. 1 PA) et le délai (art. 108 al. 3 LAsi) prescrits par la loi, le recours est recevable.</w:t>
      </w:r>
    </w:p>
    <w:p>
      <w:r>
        <w:rPr>
          <w:b/>
        </w:rPr>
        <w:t>E. 2.1</w:t>
      </w:r>
    </w:p>
    <w:p>
      <w:r>
        <w:t>Saisi d'un recours contre une décision de non-entrée en matière sur une demande d'asile, le Tribunal se limite à examiner le bien-fondé d'une telle décision (cf. ATAF 2017 VI/5 consid. 3.1, et jurisprudence citée).</w:t>
      </w:r>
    </w:p>
    <w:p>
      <w:r>
        <w:rPr>
          <w:b/>
        </w:rPr>
        <w:t>E. 2.2</w:t>
      </w:r>
    </w:p>
    <w:p>
      <w:r>
        <w:t>Plus précisément, il convient de déterminer si le SEM était fondé à faire application de l'art. 31a al. 1 let. b LAsi, disposition en vertu de laquelle il n'entre pas en matière sur une demande d'asile lorsque la requérante peut se rendre dans un Etat tiers compétent, en vertu d'un accord international, pour mener la procédure d'asile et de renvoi.</w:t>
      </w:r>
    </w:p>
    <w:p>
      <w:r>
        <w:rPr>
          <w:b/>
        </w:rPr>
        <w:t>E. 3</w:t>
      </w:r>
    </w:p>
    <w:p>
      <w:r>
        <w:t>La recourante s'étant prévalue d'une violation de la maxime inquisitoire et de son droit d'être entendue, il convient d'examiner en premier lieu le bien-fondé de ces griefs d'ordre formel (cf. arrêt du Tribunal fédéral [ci-après : TF] 2C_360/2011 du 18 novembre 2011 consid. 2 ; arrêt du TAF F-2210/2019 du 15 mai 2019 consid. 2). En substance, la recourante a reproché à l'autorité intimée de n'avoir pas pris en compte son état de santé ni sa vulnérabilité particulière et de ne pas avoir suffisamment analysé sa situation et les éventuelles conséquences d'un transfert en France. Le SEM n'aurait en effet pas vérifié qu'un tel transfert ne mettrait pas concrètement en danger la recourante, notamment au vu de ses idées suicidaires et du risque de non prise en charge par les structures médicales de ce pays.</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2009/60 consid. 2.1.1 et 2009/50 consid. 10.2 ; arrêt du TAF D-3082/2019 du 27 juin 2019]).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2009/50 consid. 10.2 et 2008/24 consid. 7.2 ; arrêt du TAF D-3082/2019 pp. 5 et 6). S'agissant du droit d'être entendu ancré à l'art. 29 al. 2 Cst.,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réf. cit. ; 2010/53 consid. 13.1). Le droit d'être entendu permet également à la personne concernée de consulter le dossier avant le prononcé d'une décision et s'étend à toutes les pièces relatives à la procédure, sur lesquelles la décision est susceptible de se fonder. En effet, la possibilité de faire valoir ses arguments dans une procédure suppose la connaissance préalable des éléments dont l'autorité dispose (cf. ATF 132 V 387 consid. 3.1 ; ATF 126 I 7 consid. 2b ; cf. également arrêts du TAF E-2163/2016 du 10 janvier 2019, D-3561/2017 du 13 juillet 2018 et D-7353/2016 du 4 mai 2017 consid. 2.1). Quant à l'obligation de motiver, déduite du droit d'être entendu (art. 29al.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 arrêt du TF 2C_360/2011 du 18 novembre 2011 consid. 2.1).</w:t>
      </w:r>
    </w:p>
    <w:p>
      <w:r>
        <w:rPr>
          <w:b/>
        </w:rPr>
        <w:t>E. 3.2</w:t>
      </w:r>
    </w:p>
    <w:p>
      <w:r>
        <w:t>Le « concept sanitaire » mis en place par le SEM dans le CFA de Boudry prévoie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Tribunal E-3262/2019 du 4 juillet 2019 et D-1954/2019 du 13 mai 2019). En l'espèce, il apparaît que les rapports médicaux, rédigés dans le cadre du suivi régulier dont a bénéficié la recourante du 30 octobre 2019 au 20 janvier 2020 (cf. consid. 6.2.2 infra), ont tous été transmis à la représentation juridique de la requérante (cf. dossier SEM, 18, 29, 35, 36, 41, 49, 50). L'autorité intimée a par ailleurs donné l'occasion à l'intéressée de se déterminer sur ces rapports par courrier du 20 janvier 2020 (cf. dossier SEM, pce 45). Au regard des démarches entreprises par le SEM, ainsi que des informations ressortant de ces rapports médicaux, le Tribunal considère que l'état de fait est suffisamment complet en ce qui concerne la situation médicale de la recourante. Le Tribunal estime de plus que, dans le cas particulier, le SEM n'était pas tenu de procéder à des mesures d'instruction complémentaires en rapport avec la prise en charge des personnes vulnérables ou la disponibilité des soins en France, compte tenu notamment des troubles médicaux constatés ainsi que des traitements recommandés par les rapports médicaux établis les 14, 15 et 16 janvier 2020 (cf. dossier SEM, pces 42 à 44). En outre, les troubles invoqués par la recourante, dont l'état de santé sera communiqué aux autorités françaises lors de son transfert, pourront être traités en France, ce pays disposant de structures médicales similaires à celles existant en Suisse (cf. consid. 6.2.3 et 6.2.4 infra), de sorte qu'il ne saurait être reproché au SEM d'avoir arbitrairement renoncé à trier plus avant certains aspects médicaux à la faveur d'une appréciation anticipée des preuves (cf. ATF 140 I 285 consid. 6.3.1).</w:t>
      </w:r>
    </w:p>
    <w:p>
      <w:r>
        <w:rPr>
          <w:b/>
        </w:rPr>
        <w:t>E. 3.3</w:t>
      </w:r>
    </w:p>
    <w:p>
      <w:r>
        <w:t>En conséquence, le grief tiré de la violation de la maxime inquisitoire doit être écarté. Il en va de même pour ce qui concerne l'allégation de la recourante selon laquelle le SEM aurait violé son droit d'être entendue (cf. recours, p. 4 par. 3).</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4.3</w:t>
      </w:r>
    </w:p>
    <w:p>
      <w:r>
        <w:t>Dans une procédure de prise en charge (anglais : take charge),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ATAF 2012/4 consid. 3.2).</w:t>
      </w:r>
    </w:p>
    <w:p>
      <w:r>
        <w:rPr>
          <w:b/>
        </w:rPr>
        <w:t>E. 4.4</w:t>
      </w:r>
    </w:p>
    <w:p>
      <w:r>
        <w:t>En application de l'art. 12 par. 4 RD III, si le demandeur est, notamment, titulaire d'un visa périmé depuis moins de six mois lui ayant effectivement permis d'entrer sur le territoire d'un Etat membre, l'Etat membre qui l'a délivré est responsable de l'examen de la demande de protection internationale, aussi longtemps que le demandeur n'a pas quitté le territoire des Etats membres. L'Etat responsable de l'examen d'une demande de protection internationale en vertu du règlement est tenu de prendre en charge - dans les conditions prévues aux art. 21, 22 et 29 - le demandeur qui a introduit une demande dans un autre Etat membre (cf. art. 18 par. 1 let. a RD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(cf. art. 19 par. 2 RD III).</w:t>
      </w:r>
    </w:p>
    <w:p>
      <w:r>
        <w:rPr>
          <w:b/>
        </w:rPr>
        <w:t>E. 4.5</w:t>
      </w:r>
    </w:p>
    <w:p>
      <w:r>
        <w:t>En l'espèce, les investigations entreprises par le SEM, à travers la consultation de l'unité centrale du système européen « Eurodac » et du système central européen d'information sur les visas (CS-VIS), ont révélé que la recourante avait obtenu un visa émis par la France, valable du 20 juillet au 20 octobre 2019, par le biais duquel elle est entrée dans l'Espace Dublin. Ce visa n'était donc pas encore périmé depuis plus de six mois lorsque le SEM a soumis, le 11 novembre 2019, aux autorités françaises compétentes, dans le délai fixé à l'art. 21 par. 1 RD III, une requête aux fins de l'admission de la recourante, fondée sur l'art. 12 par. 4 RD III. Ayant accepté l'admission de la recourante le 21 novembre 2019 sur la base de cette même disposition, la France a ainsi reconnu sa compétence pour traiter la demande d'asile de l'intéressée.</w:t>
      </w:r>
    </w:p>
    <w:p>
      <w:r>
        <w:rPr>
          <w:b/>
        </w:rPr>
        <w:t>E. 5</w:t>
      </w:r>
    </w:p>
    <w:p>
      <w:r>
        <w:t>La recourante conteste cela étant la décision du SEM du 29 janvier 2020, en invoquant la violation du droit, notamment pour établissement inexact ou incomplet de l'état de fait pertinent et pour manque d'instruction (cf. consid. 3 supra), en particulier s'agissant de son état de santé, ainsi que pour absence d'examen individualisé et d'assurances concrètes en France. Elle s'est également plainte d'une violation de la clause de souveraineté de l'art. 17 par. 1 RD III, en lien avec les art. 3 CEDH et 29a al. 3 OA1, en ce sens qu'il était hautement probablement qu'elle ne bénéficierait pas de soins médicaux spécialisés dès son arrivée en France et qu'un tel défaut de traitement violerait les dispositions précitées.</w:t>
      </w:r>
    </w:p>
    <w:p>
      <w:r>
        <w:rPr>
          <w:b/>
        </w:rPr>
        <w:t>E. 5.1</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5.2</w:t>
      </w:r>
    </w:p>
    <w:p>
      <w:r>
        <w:t>Il n'y a en l'espèce aucune raison sérieuse de croire qu'il existe, en France,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5.3</w:t>
      </w:r>
    </w:p>
    <w:p>
      <w:r>
        <w:t>Dans ces conditions, l'application de l'art. 3 par. 2 2ème phrase du RD III ne se justifie pas.</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6.2</w:t>
      </w:r>
    </w:p>
    <w:p>
      <w:r>
        <w:t>En l'occurrence, la recourante s'est plainte de son mauvais état de santé et de ce que si elle était transférée vers la France, elle serait confrontée à des risques personnels et concrets qui pourraient la conduire au suicide dès lors que, victime de violences, elle se trouvait dans une situation de vulnérabilité particulière. Elle a également fait valoir qu'elle était recherchée par sa famille, qui avait des relations en France (sa tante), qu'elle craignait ainsi faire l'objet de représailles et qu'un retour dans ce pays lui serait insupportable vu sa situation psychologique. Elle a aussi reproché au SEM de ne pas s'être assuré qu'elle eût un accès immédiat et durable à des traitements appropriés en France et de ne pas avoir évalué les conséquences d'un refoulement forcé dans ce pays. Concernant son état de santé, elle a indiqué qu'elle était victime de problèmes physiques et psychiques. Sur le plan somatique, elle a fait valoir, rapports médicaux à l'appui (cf. formulaires F4 des 14 et 16 janvier 2020, dossier SEM, pces 42 et 44), qu'elle souffrait de dysménorrhée, d'un lipome à l'épaule droite, d'une hypoglycémie pré-prandiale, d'une probable maladie peptique vs de reflux et de cervico-brachialgies chroniques non déficitaires. Sur le plan psychologique, rapports médicaux toujours à l'appui, elle a indiqué qu'elle souffrait d'une baisse de la thymie, de perte d'élan vital, d'anhédonie, d'angoisses, de ruminations, de troubles du sommeil avec cauchemars envahissants, d'une diminution de l'appétit, d'idées suicidaires passives multi-scénarisées, sans passage à l'acte. Il ressort des rapports que des médicaments lui ont été prescrits, à savoir du Pantoprazol, du Trittico et du Clorazépate, et que sa prise en charge s'est poursuivie en ambulatoire depuis le 16 janvier 2020.</w:t>
      </w:r>
    </w:p>
    <w:p>
      <w:r>
        <w:rPr>
          <w:b/>
        </w:rPr>
        <w:t>E. 6.2.1</w:t>
      </w:r>
    </w:p>
    <w:p>
      <w:r>
        <w:t>Selon la jurisprudence de la Cour EDH (cf. arrêt de la Cour EDH N. contre RoyaumeUni du 27 mai 2008, 26565/05), le retour forcé des personnes touchées dans leur santé n'est susceptible de constituer une violation de l'art. 3 CEDH que si l'intéressée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6.2.2</w:t>
      </w:r>
    </w:p>
    <w:p>
      <w:r>
        <w:t>En l'espèce, la recourante a pu bénéficier d'un suivi médical, ayant pu se rendre à une quinzaine de consultations médicales entre le 30 octobre 2019 et le 20 janvier 2020, à la suite desquelles des médicaments lui ont été prescrits, tant pour ses problèmes physiques que psychiques (cf. consid. 6.2 supra et dossier SEM, pces 15, 16, 26 à 28, 37 à 44, 47, 48 et 52). S'agissant de ses idées suicidaires, il y a lieu de relever que la recourante n'a jamais commis de tentative et évoque ces idées lorsqu'elle pense à « un possible renvoi » en France. Le rapport médical du 15 janvier 2020 atteste toutefois que la recourante n'a « [p]as d'idée suicidaire actuellement » et qu'« une médication anxiolytique et un suivi rapproché dans [le] centre d'urgences psychiatrique [ont] permis une amélioration de la symptomatologie anxieuse, tout en laissant une symptomatologie dépressive au premier plan » (cf. dossier SEM, pce 43, p. 2). En outre, sa prise en charge se poursuit en ambulatoire depuis le 16 janvier 2020. Ces éléments démontrent que l'état de santé psychique de la recourante a évolué favorablement et qu'il est désormais sous contrôle, tout du moins si elle poursuit son traitement (cf. dossier SEM, pce 43, ch. 4.2), possibilité qui lui sera garantie lors de son transfert en France (cf. consid. 6.2.3 et 6.2.4 infra).</w:t>
      </w:r>
    </w:p>
    <w:p>
      <w:r>
        <w:rPr>
          <w:b/>
        </w:rPr>
        <w:t>E. 6.2.3</w:t>
      </w:r>
    </w:p>
    <w:p>
      <w:r>
        <w:t>Il s'ensuit qu'il ne s'agit là nullement de problèmes de santé de nature à remettre en cause son transfert vers la France. Les troubles invoqués par l'intéressée pourront être traités dans ce pays, qui dispose de structures médicales similaires à celles existant en Suisse. En tout état de cause,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w:t>
      </w:r>
    </w:p>
    <w:p>
      <w:r>
        <w:rPr>
          <w:b/>
        </w:rPr>
        <w:t>E. 6.2.4</w:t>
      </w:r>
    </w:p>
    <w:p>
      <w:r>
        <w:t>S'agissant du grief de la recourante selon lequel un retour en France lui serait insurmontable psychologiquement vu qu'elle serait recherchée par sa famille dans ce pays, au point qu'elle intente à sa vie, il sied de relever que ces allégations se limitent à de simples affirmations qui ne reposent sur aucun indice objectif, concret et sérieux. En cas de matérialisation d'un quelconque danger pour sa vie, il sera par ailleurs loisible à l'intéressée de s'adresser aux autorités et structures compétentes de cet Etat afin de solliciter leur intervention.</w:t>
      </w:r>
    </w:p>
    <w:p>
      <w:r>
        <w:rPr>
          <w:b/>
        </w:rPr>
        <w:t>E. 6.2.5</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Au demeurant, si - après son retour en France - la requérante devait être contrainte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françaises, en usant des voies de droit adéquates (cf. art. 26 directive Accueil).</w:t>
      </w:r>
    </w:p>
    <w:p>
      <w:r>
        <w:rPr>
          <w:b/>
        </w:rPr>
        <w:t>E. 6.2.6</w:t>
      </w:r>
    </w:p>
    <w:p>
      <w:r>
        <w:t>Il incombera néanmoins aux autorités suisses chargées de l'exécution du transfert de transmettre aux autorités françaises les renseignements permettant une telle prise en charge (cf. art. 31 et 32 RD III). Il convient de préciser que le SEM dispose, depuis le 1er novembre 2019, d'une autorisation signée par la recourante lui permettant de consulter son dossier médical et de se procurer des informations à ce sujet (levée du secret médical), ce formulaire du SEM, intitulé « Autorisation de consultation du dossier médical », ayant été soumis pour signature à l'intéressée au terme de son audition du même jour.</w:t>
      </w:r>
    </w:p>
    <w:p>
      <w:r>
        <w:rPr>
          <w:b/>
        </w:rPr>
        <w:t>E. 6.3</w:t>
      </w:r>
    </w:p>
    <w:p>
      <w:r>
        <w:t>Enfin, le SEM a bien pris en compte les faits allégués par l'intéressée, susceptibles de constituer des raisons humanitaires au sens de l'art. 29a al. 3 OA 1, en lien avec l'art. 17 par. 1 RD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6.4</w:t>
      </w:r>
    </w:p>
    <w:p>
      <w:r>
        <w:t>Au regard de l'ensemble des éléments qui précèdent, c'est à bon droit que le SEM a retenu qu'il n'y avait pas lieu de faire application de la clause discrétionnaire de l'art. 17 par. 1 RD III.</w:t>
      </w:r>
    </w:p>
    <w:p>
      <w:r>
        <w:rPr>
          <w:b/>
        </w:rPr>
        <w:t>E. 7</w:t>
      </w:r>
    </w:p>
    <w:p>
      <w:r>
        <w:t>Au vu de ce qui précède, c'est à juste titre que le SEM n'est pas entré en matière sur la demande d'asile de la recourante, en application de l'art. 31a al. 1 let. b LAsi, et qu'il a prononcé son transfert de Suisse vers la France, en application de l'art. 44 LAsi, aucune exception à la règle générale du renvoi n'étant réalisée (art. 32 OA 1). Le recours est par conséquent rejeté. Etant manifestement infondé, il est rejeté dans une procédure à juge unique, avec l'approbation d'un second juge (art. 111 let. e LAsi). Il est dès lors renoncé à un échange d'écritures, le présent arrêt n'étant motivé que sommairement (cf. art. 111a al.1 et al. 2 LAsi).</w:t>
      </w:r>
    </w:p>
    <w:p>
      <w:r>
        <w:rPr>
          <w:b/>
        </w:rPr>
        <w:t>E. 8</w:t>
      </w:r>
    </w:p>
    <w:p>
      <w:r>
        <w:t>Les conclusions du recours étant d'emblée vouées à l'échec, la requête d'assistance judiciaire totale est rejetée.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