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F-746/2018 vom 19. Dezember 2019</w:t>
      </w:r>
    </w:p>
    <w:p>
      <w:r>
        <w:t>Bundesverwaltungsgericht, 2019-12-19, FR</w:t>
      </w:r>
    </w:p>
    <w:p>
      <w:r>
        <w:rPr>
          <w:b/>
        </w:rPr>
        <w:t xml:space="preserve">Quelle: </w:t>
      </w:r>
      <w:r>
        <w:t>https://mcp.opencaselaw.ch/entscheid/bvger_F-746_2018</w:t>
      </w:r>
    </w:p>
    <w:p>
      <w:r>
        <w:t>FR: TAF F-746/2018 du 19 décembre 2019</w:t>
      </w:r>
    </w:p>
    <w:p>
      <w:r>
        <w:t>IT: TAF F-746/2018 del 19 dicembre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La recourante a qualité pour recourir (cf. art. 48 al. 1 PA). En outre,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Dans son arrêt, elle prend en considération l'état de fait régnant au moment où elle statue (cf. ATAF 2014/1 consid. 2, et jurispr. cit.).</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Dans la mesure où, dans le cas particulier qui porte sur l'application de l'art. 3 par. 1 Annexe I ALCP (cf. supra consid. 5-7) , l'application du nouveau droit interne n'aurait de toute façon aucune incidence sur l'issue de l'affaire, il n'est pas nécessaire de déterminer s'il existe des motifs importants d'intérêt public à même de commander l'application immédiate de celui-ci (sur cette problématique cf., parmi d'autres, arrêt du TAF F-2782/2017 du 30 janvier 2019 consid. 3 ; F-736/2017 du 18 février 2019 consid. 3) et il y a lieu de citer la LEtr dans sa teneur en vigueur jusqu'au 31 décembre 2018.</w:t>
      </w:r>
    </w:p>
    <w:p>
      <w:r>
        <w:rPr>
          <w:b/>
        </w:rPr>
        <w:t>E. 4.1</w:t>
      </w:r>
    </w:p>
    <w:p>
      <w:r>
        <w:t>Les autorités chargées de l'exécution des dispositions légales contenues dans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sa décision à l'approbation du SEM en conformité avec les art. 40 al. 1 et 99 LEtr et l'art. 6 let. f de l'ordonnance du 13 août 2015 du DFJP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B._______ et peuvent parfaitement s'écarter de l'appréciation faite par cette autorité.</w:t>
      </w:r>
    </w:p>
    <w:p>
      <w:r>
        <w:rPr>
          <w:b/>
        </w:rPr>
        <w:t>E. 5</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6.1</w:t>
      </w:r>
    </w:p>
    <w:p>
      <w:r>
        <w:t>Il sied au préalable de rappeler que l'ALCP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voir arrêts du Tribunal fédéral 2A.246/2003 du 19 décembre 2003 consid. 5.1 ;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ATF 130 II 113 consid. 7.1 à 7.3 ; arrêts du Tribunal fédéral 2C_1061/2013 du 14 juillet 2015 consid. 5.1 ; 2C_417/2008 du 18 juin 2010 consid. 4.2 ; 2A.246/2003 consid. 7.1 et 7.3, ainsi que les réf. citées). Le Tribunal fédéral considère ainsi que l'art. 3 de l'Annexe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Tribunal fédéral 2A.238/2003 consid. 5.2.3 et 5.2.4).</w:t>
      </w:r>
    </w:p>
    <w:p>
      <w:r>
        <w:rPr>
          <w:b/>
        </w:rPr>
        <w:t>E. 6.2</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la jurisprudence rendue en application de l'art. 3 Annexe I ALCP (ATF 136 II 5 qui, suite à l'affaire Metock,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 Il est encore à noter que l'ALCP ne prévoit pas de conditions temporelles pour déposer une demande de regroupement familial, en dehors de la limite d'âge prévue pour le regroupement familial des enfants (cf. aussi à ce propos Cesla Amarelle/Minh Son Nguyen, Code annoté de droit des migrations. Volume II : Accord sur la libre circulation des personnes [ALCP], Berne 2014, p. 104, ch. 31). Par ailleurs, selon le Tribunal fédéral, le regroupement familial au sens de l'art. 3 par. 2 Annexe I ALCP a pour objet de protéger uniquement les relations familiales existantes, ce qui implique bien entendu non pas que les personnes concernées aient vécu ensemble, mais qu'elles entretiennent une relation vécue, d'une intensité minimale (cf. ATF 136 II 65 consid. 5.2).</w:t>
      </w:r>
    </w:p>
    <w:p>
      <w:r>
        <w:rPr>
          <w:b/>
        </w:rPr>
        <w:t>E. 6.3</w:t>
      </w:r>
    </w:p>
    <w:p>
      <w:r>
        <w:t>Aux termes de l'art. 3 par. 2 let. b Annexe I ALCP, sont considérés comme membres de la famille, quelle que soit leur nationalité, les ascendants et ceux de son conjoint qui sont à la charge du titulaire initial du droit de séjour. La disposition précitée de l'accord subordonne également le droit au regroupement familial des ascendants à la condition que leur entretien soit garanti (ATF 135 II 369 consid. 3.1 p. 372 ss). L'art. 3 par. 2 let. b Annexe I ALCP précise que le regroupement familial pour l'ascendant du ressortissant communautaire, titulaire du droit initial, ainsi que pour ceux de son conjoint, n'est possible que si lesdits ascendants sont à sa charge. La qualité d'ascendant « à charge » résulte de la situation de fait caractérisée par la circonstance que le ressortissant communautaire (ou son conjoint) ayant fait usage de la liberté de circulation apporte un soutien matériel à ce dernier (cf. ATF 135 II 369 consid. 3.1 et arrêts de la CJCE du 19 octobre 2004 C-200/02 Zhu et Chen, Rec. 2004 I-09925 point 43 et du 9 janvier 2007 C-1/05 Jia, Rec. 2007 I-00001 points 37 et 43). Afin de déterminer si les ascendants d'un ressortissant communautaire ou ceux de son conjoint sont à charge, l'État membre d'accueil doit apprécier si, eu égard à leurs conditions économiques et sociales, lesdits ascendants ne sont pas en mesure de subvenir à leurs besoins essentiels. Pour ce faire, les autorités d'application peuvent exiger une attestation des autorités du pays d'origine ou de provenance prouvant le lien de parenté et - le cas échéant - le soutien accordé (art. 3 par. 3 annexe I ALCP). La nécessité du soutien matériel doit exister dans l'État d'origine ou de provenance de ces ascendants au moment où ils demandent à rejoindre ledit ressortissant communautaire. En principe, l'entretien doit être assuré par le détenteur du droit originaire.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(cf. ch. 9.6 des Directives OLCP de l'autorité intimée en ligne sur son site internet https://www.sem.admin.ch Publication &amp; service Directives et circulaires II. Accord sur la libre circulation Directives et commentaires concernant l'introduction progressive de la libre circulation des personnes; état au mois de novembre 2019 [site consulté en novembre 2019]).</w:t>
      </w:r>
    </w:p>
    <w:p>
      <w:r>
        <w:rPr>
          <w:b/>
        </w:rPr>
        <w:t>E. 7</w:t>
      </w:r>
    </w:p>
    <w:p>
      <w:r>
        <w:t>La demande pour un visa de long séjour (visa D) en vue d'un regroupement familial a été déposée auprès de l'ambassade de Suisse à Téhéran en avril 2016, alors que B._______ était âgée de près de 76 ans. Il convient donc d'examiner si les conditions de délivrance d'une autorisation de séjour pour regroupement familial au sens de l'art. 3 par. 2 let. b Annexe I ALCP sont respectées dans le cas d'espèce.</w:t>
      </w:r>
    </w:p>
    <w:p>
      <w:r>
        <w:rPr>
          <w:b/>
        </w:rPr>
        <w:t>E. 7.1</w:t>
      </w:r>
    </w:p>
    <w:p>
      <w:r>
        <w:t>En ce qui concerne la condition relative au logement, le Tribunal observe qu'à teneur des directives du SEM, un logement est considéré comme approprié lorsqu'il permet de loger toute la famille sans être surpeuplé (cf. le ch. 6.1.4 des directives et commentaires du SEM, publiées sur le site internet www.sem.admin.ch Publications &amp; service Directives et circulaires I. Domaine des étrangers , version actualisée le 1er novembre 2019 ; site consulté en novembre 2019). En l'espèce, il apparaît que la recourante et son époux sont propriétaires d'une villa de 6 pièces et que sur leur terrain se trouve un petit chalet de 80 m2, qu'ils entendent mettre à la disposition de B._______. Force est de constater que la recourante dispose ainsi d'un logement d'une taille suffisante pour accueillir sa mère. Ce point n'est du reste nullement contesté par l'autorité de première instance.</w:t>
      </w:r>
    </w:p>
    <w:p>
      <w:r>
        <w:rPr>
          <w:b/>
        </w:rPr>
        <w:t>E. 7.2</w:t>
      </w:r>
    </w:p>
    <w:p>
      <w:r>
        <w:t>Cela étant, le SEM a considéré que la présente demande de regroupement familial répondait davantage à des motifs de convenance personnelle, dès lors qu'il n'avait pas été démontré que B._______ vivait à la charge de sa fille. Le Tribunal constate en premier lieu que, dans le cadre d'un regroupement familial pour ascendants en application de l'ALCP, il n'existe pas de conditions temporelles pour déposer une telle demande (cf. supra consid. 6.2). Il convient au surplus de rappeler qu'aux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ce qui n'est également pas le cas en l'espèce. En second lieu, il convient d'examiner attentivement si la demande de regroupement familial pour ascendants est bien déposée en vue de reconstituer une communauté familiale en Suisse et n'est pas abusive parce que déposée uniquement dans le but d'éluder les prescriptions d'admission au sens de l'ALCP. A titre d'exemple, il y a lieu de considérer qu'une demande serait abusive si le membre de la famille à charge ne devait pas entretenir de relation étroite et suivie avec son parent en Suisse, si le soutien que ce dernier devait lui apporter serait faible ou épisodique ou si l'ascendant admis en Suisse devait exercer une activité lucrative, ce qui est exclu a contrario par l'art. 3 par. 5 Annexe I ALCP. Dans le cas d'espèce, on ne distingue pas d'éléments permettant de conclure à une volonté d'éluder les prescriptions d'admission au sens de l'ALCP.</w:t>
      </w:r>
    </w:p>
    <w:p>
      <w:r>
        <w:rPr>
          <w:b/>
        </w:rPr>
        <w:t>E. 7.3</w:t>
      </w:r>
    </w:p>
    <w:p>
      <w:r>
        <w:t>S'agissant de l'entretien du membre de la famille pour lequel le regroupement familial est requis, il doit être garanti, en principe, par le détenteur du droit originaire (cf. Directives OLCP, ch. 9.6 ; cf. aussi également ATF 135 II 369 consid. 3.1). En l'occurrence, A._______ et son époux exercent une activité lucrative qui leur assure un revenu annuel net à hauteur de 118'945 francs pour A._______ (état au 31 décembre 2017) et de 184'615.60 francs pour son époux (état au 31 décembre 2017). Bien que les documents produits remontent à près de 2 ans, en l'état actuel, le Tribunal n'a pas de raison objective de considérer que la situation financière de la recourante et de son époux se serait à ce point modifiée défavorablement qu'une mesure d'instruction complémentaire serait justifiée. Par ailleurs, il n'apparaît pas qu'ils feraient l'objet de poursuites ou d'actes de défaut de biens, de sorte qu'il n'y a pas lieu de remettre en question la capacité d'entretien des intéressés, ce qui, du reste, n'a pas non plus été contesté par le SEM.</w:t>
      </w:r>
    </w:p>
    <w:p>
      <w:r>
        <w:rPr>
          <w:b/>
        </w:rPr>
        <w:t>E. 7.3.1</w:t>
      </w:r>
    </w:p>
    <w:p>
      <w:r>
        <w:t>Dans le cas d'espèce, B._______ est veuve et perçoit une rente mensuelle à hauteur de 17'279'418 rials iraniens (cf. fiche du 25 janvier 2018, jointe à l'envoi du 9 avril 2018). De 2010 à 2014, elle a vécu auprès de sa fille, en Allemagne, en étant au bénéfice d'une autorisation de séjour au titre du regroupement familial. Durant cette période, le loyer et l'assurance maladie de B._______ étaient assumés par la recourante. A l'échéance de son autorisation de séjour et dans l'attente de la délivrance d'un titre de séjour EU/AELE par les autorités suisses, la mère de la recourante est retournée en Iran. Il ressort par ailleurs des pièces au dossier que B._______ est venue en Suisse à deux reprises, au bénéfice d'un visa de tourisme, que sa fille est venue la voir en Iran, en avril 2016 et durant l'été 2017 et que son gendre est venu la voir en Iran en décembre 2016. Par ailleurs, à plusieurs reprises, elle s'est vue remettre de l'argent, soit par sa fille soit par de tierces personnes (cf. parmi d'autres, attestation de D._______, du 25 mars 2018 et attestation de E._______, du 24 mars 2018).</w:t>
      </w:r>
    </w:p>
    <w:p>
      <w:r>
        <w:rPr>
          <w:b/>
        </w:rPr>
        <w:t>E. 7.3.2</w:t>
      </w:r>
    </w:p>
    <w:p>
      <w:r>
        <w:t>Dans sa décision, le SEM a relevé que le montant versé à la mère de la recourante à titre de rente correspondait au salaire iranien moyen, de sorte que l'aide perçue contribuait à améliorer son ordinaire mais non à couvrir ses besoins essentiels. Le Tribunal ne saurait partager ce point de vue. S'il est exact que le montant perçu par la mère de la recourante correspond au salaire moyen perçu en Iran, il apparaît cependant que B._______ est atteinte dans sa santé et nécessite de ce fait des soins médicaux. En effet, ainsi que l'a fait observer la recourante, sa mère a des prothèses aux genoux et est suivie par un physiothérapeute. Le montant annuel de son traitement s'élève à 83'000'000 rials iraniens (cf. attestation délivrée par le docteur F._______ en date du 14 février 2018). Par ailleurs, la mère de la recourante souffre d'hypertension, de goutte et de diabète. A ce titre, elle est suivie sur les plan cardiaque et rénal à raison d'un examen tous les six mois et subit un contrôle sanguin tous les 3 mois. Enfin, en raison de problèmes de thyroïde, elle subit des contrôles réguliers. Le coût de ces divers examens est chiffré à 110'000'000 rials iraniens par an (cf. attestation délivrée par le docteur S. Taghavi en date du 14 mars 2018). Enfin, en raison de ses diverses pathologies, l'intéressée doit suivre un traitement médicamenteux, dont les coûts ne sont pris en charge ni par son assurance maladie de base ni par son assurance maladie complémentaire (cf. attestations de ses médecins traitants des 10 et 12 mars 2019). Le traitement médical de l'intéressée s'élève ainsi au minimum à 193'000'000 rials iraniens par an alors que le montant total de la rente perçue s'élève quant à lui à quelques 207'360'000 rials iraniens (cf. attestation de versement de la rente pour le mois de janvier 2018 pour un montant de 17'279'418 rials iraniens). Le solde théorique (sachant que les frais médicamenteux ne sont pas décomptés) à la disposition de la mère de la recourante s'élève ainsi annuellement à 14'360'000 rials iraniens, soit à près de 1'197'000 rials iraniens par mois. Or, ce montant est largement inférieur au salaire moyen iranien puisque converti en euros (soit la devise retenue par le SEM dans sa décision), il s'élève à près de 26 euros par mois. Dans ces circonstances, et en dépit d'un coût de la vie inférieure à celui qui a cours en Occident, le Tribunal conçoit difficilement que la recourante puisse faire face à ses autres besoins essentiels, soit, en particulier, la nourriture, le logement et les charges liés à celui-ci, les vêtements et les soins corporels de base. A ces considérations s'ajoute le fait que la situation économique iranienne s'est considérablement dégradée ensuite du prononcé de sanctions économiques à l'encontre du régime iranien par l'administration américaine. Le taux d'inflation a ainsi fortement grimpé, entraînant une hausse des prix à la consommation. Par ailleurs, en raison des sanctions, certains médicaments ne sont plus accessibles.</w:t>
      </w:r>
    </w:p>
    <w:p>
      <w:r>
        <w:rPr>
          <w:b/>
        </w:rPr>
        <w:t>E. 7.3.3</w:t>
      </w:r>
    </w:p>
    <w:p>
      <w:r>
        <w:t>Ainsi que cela ressort des documents produits par la recourante, celle-ci verse périodiquement de l'argent à sa mère pour permettre à cette dernière de faire face à ses divers frais (cf. document signé par E._______ en date du 24 mars 2018 et par lequel il atteste avoir reçu un montant de 2'000 euros de la part de la recourante à remettre à la mère de celle-ci ; document signé par D._______ en date du 25 mars 2018 et par lequel elle atteste avoir versé au nom de la recourante le montant de 300 euros à la mère de celle-ci). Bien que le dossier ne contient aucun document pour l'année 2019, le Tribunal n'a pas de raisons objectives de penser que le soutien financier de la recourante en faveur de sa mère aurait cessé.</w:t>
      </w:r>
    </w:p>
    <w:p>
      <w:r>
        <w:rPr>
          <w:b/>
        </w:rPr>
        <w:t>E. 7.3.4</w:t>
      </w:r>
    </w:p>
    <w:p>
      <w:r>
        <w:t>Compte tenu de ce qui précède, le Tribunal considère que B._______ est bien à charge de sa fille et de son gendre, dans la mesure où le montant qu'elle perçoit à titre de rente n'est pas suffisant pour couvrir l'ensemble de ses besoins essentiels. Elle est ainsi financièrement dépendante, du moins partiellement, des transferts d'argent effectués par sa fille pour subvenir à ses besoins essentiels.</w:t>
      </w:r>
    </w:p>
    <w:p>
      <w:r>
        <w:rPr>
          <w:b/>
        </w:rPr>
        <w:t>E. 7.4</w:t>
      </w:r>
    </w:p>
    <w:p>
      <w:r>
        <w:t>Quant à l'intensité de la relation familiale (cf. consid. 6.2 in fine), le Tribunal relève que la recourante a gardé des contacts étroits avec sa mère, en particulier par des séjours réguliers en Iran. Enfin, on ne saurait considérer que la requête déposée en avril 2016 soit contraire à l'ordre public au sens de l'art. 5 par. 1 Annexe I ALCP. Il y a dès lors lieu de retenir que la relation entre l'intéressée et la recourante est vécue et d'une intensité suffisante au sens de la jurisprudence susmentionnée (cf. supra consid. 6.2).</w:t>
      </w:r>
    </w:p>
    <w:p>
      <w:r>
        <w:rPr>
          <w:b/>
        </w:rPr>
        <w:t>E. 8</w:t>
      </w:r>
    </w:p>
    <w:p>
      <w:r>
        <w:t>Compte tenu de l'ensemble des éléments exposés ci-dessus, le recours doit être admis, la décision attaquée annulée et la délivrance par les autorités cantonales d'une autorisation de séjour au titre du regroupement familial approuvée.</w:t>
      </w:r>
    </w:p>
    <w:p>
      <w:r>
        <w:rPr>
          <w:b/>
        </w:rPr>
        <w:t>E. 9.1</w:t>
      </w:r>
    </w:p>
    <w:p>
      <w:r>
        <w:t>Bien qu'elle succombe, l'autorité inférieure n'a pas à supporter de frais de procédure (art. 63 al. 2 PA). Obtenant gain de cause, la recourante n'a pas à supporter de frais de procédure (art. 63 al. 1 a contrario et al. 3 PA).</w:t>
      </w:r>
    </w:p>
    <w:p>
      <w:r>
        <w:rPr>
          <w:b/>
        </w:rPr>
        <w:t>E. 9.2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En l'absence de note de frais, l'indemnité due est fixée sur la base du dossier (art. 14 al. 2 FITAF). Au regard de l'ensemble des circonstances, l'indemnité à titre de dépens est fixée à 1'500 francs y compris supplément TVA selon l'art. 9 al. 1 let. c FITAF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