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F-7402/2018 vom 22. Mai 2019</w:t>
      </w:r>
    </w:p>
    <w:p>
      <w:r>
        <w:t>Bundesverwaltungsgericht, 2019-05-22, FR</w:t>
      </w:r>
    </w:p>
    <w:p>
      <w:r>
        <w:rPr>
          <w:b/>
        </w:rPr>
        <w:t xml:space="preserve">Quelle: </w:t>
      </w:r>
      <w:r>
        <w:t>https://mcp.opencaselaw.ch/entscheid/bvger_F-7402_2018</w:t>
      </w:r>
    </w:p>
    <w:p>
      <w:r>
        <w:t>FR: TAF F-7402/2018 du 22 mai 2019</w:t>
      </w:r>
    </w:p>
    <w:p>
      <w:r>
        <w:t>IT: TAF F-7402/2018 del 22 maggio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en Suisse prononcées par le SEM (cf. art. 33 let. d LTAF) sont susceptibles de recours au Tribunal, qui statue définitivement, sous réserve des cas où l'Accord sur la libre circulation des personnes du 21 juin 1999 (ALCP, RS 0.142.112.681) s'applique, ce qui n'est pas le cas en l'espèce, le recourant étant ressortissant d'un Etat tiers (cf. art. 1 al. 2 LTAF en relation avec l'art. 83 let. c ch. 1 LTF).</w:t>
      </w:r>
    </w:p>
    <w:p>
      <w:r>
        <w:rPr>
          <w:b/>
        </w:rPr>
        <w:t>E. 1.3</w:t>
      </w:r>
    </w:p>
    <w:p>
      <w:r>
        <w:t>A moins que la LTAF n'en dispose autrement, la procédure devant le Tribunal est régie par la PA (art. 37 LTAF).</w:t>
      </w:r>
    </w:p>
    <w:p>
      <w:r>
        <w:rPr>
          <w:b/>
        </w:rPr>
        <w:t>E. 1.4</w:t>
      </w:r>
    </w:p>
    <w:p>
      <w:r>
        <w:t>La recourante a qualité pour recourir (cf. art. 48 al. 1 PA).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3.1</w:t>
      </w:r>
    </w:p>
    <w:p>
      <w:r>
        <w:t>Le 1er janvier 2019, la loi sur les étrangers du 16 décembre 2005 (LEtr,RS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du24 octobre 2007 (OASA, RO 2018 3173), ainsi que la révision totale de l'ordonnance sur l'intégration des étrangers, du 15 août 2018 (OIE, RO 2018 3189).</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et l'OIE qui seront citées selon leur teneur valable jusqu'au 31 décembre 2018 (cf., dans ce sens, arrêts du TAF F-1576/2017 du 30 janvier 2019 consid. 2 et F-1737/2017 du 22 janvier 2019 consid. 3).</w:t>
      </w:r>
    </w:p>
    <w:p>
      <w:r>
        <w:rPr>
          <w:b/>
        </w:rPr>
        <w:t>E. 4.1</w:t>
      </w:r>
    </w:p>
    <w:p>
      <w:r>
        <w:t>Conformément à l'art. 5 al. 1 LEtr, tout étranger doit, pour entrer en Suisse, notamment avoir une pièce de légitimation reconnue pour le passage de la frontière et être muni d'un visa si ce dernier est requis(let. a), disposer des moyens financiers nécessaires à son séjour (let. b) et ne représenter aucune menace pour la sécurité et l'ordre publics ni pour les relations internationales de la Suisse (let. c). Cette disposition, relative à l'entrée en Suisse, n'est applicable que dans la mesure où les accords d'association à Schengen ne contiennent pas de dispositions divergentes(art. 2 al. 4 LEtr).</w:t>
      </w:r>
    </w:p>
    <w:p>
      <w:r>
        <w:rPr>
          <w:b/>
        </w:rPr>
        <w:t>E. 4.2</w:t>
      </w:r>
    </w:p>
    <w:p>
      <w:r>
        <w:t>Aux termes de l'art. 2 al. 1 de l'ordonnance du 22 octobre 2008 surl'entrée et l'octroi de visas (OEV, RS 142.204), les conditions d'entrée pour un séjour n'excédant pas 90 jours ou à des fins de transit sont régies parl'art. 6 du règlement (UE) 2016/399 du Parlement européen et du Conseil du 9 mars 2016 concernant un code de l'Union relatif au régime defranchissement des frontières par les personnes (code frontières Schengen [version codifiée] ; JO L 77 du 23 mars 2016 p. 1). Par ailleurs, en application de l'art. 7 LEtr, l'entrée en Suisse et la sortie de Suisse sont régies par les accords d'association à Schengen. L'art. 6 par. 1 du code frontières Schengen, dont le contenu coïncide largement avec celui de l'art. 5 al. 1 LEtr précité (cf. à ce propos EGLI/MEYER in : CARONI/GÄCHTER/THURNHERR, Bundesgesetz über die Ausländerinnen und Ausländer, Berne 2010, ad art. 5 LEtr, n°14),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L'art. 6 par. 2 du code frontières Schengen précise notamment que la date d'entrée est considérée comme le premier jour de séjour sur le territoire des États membres et que la date de sortie est considérée comme ledernier jour de séjour sur le territoire des États membres.</w:t>
      </w:r>
    </w:p>
    <w:p>
      <w:r>
        <w:rPr>
          <w:b/>
        </w:rPr>
        <w:t>E. 4.3</w:t>
      </w:r>
    </w:p>
    <w:p>
      <w:r>
        <w:t>Selon l'art. 10 al. 1 LEtr, un étranger peut séjourner en Suisse sans exercer d'activité lucrative pendant trois mois sans autorisation, sauf si la durée fixée dans le visa est plus courte. Pour effectuer un séjour plus long sans activité lucrative, l'étranger doit être titulaire d'une autorisation (art. 10 al. 2 LEtr). L'ancienne ordonnance relative à l'admission, au séjour et à l'exercice d'une activité lucrative du 24 octobre 2007 (OASA, RO 2007 5497)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 En outre, tout étranger qui entend exercer en Suisse une activité lucrative doit, en vertu de l'art. 11 al. 1 LEtr, être titulaire d'une autorisation, quelle que soit la durée de son séjour.</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 Concernant plus spécifiquement les notions de sécurité et d'ordre publics mentionnées à l'art. 67 al. 2 let. a LEtr, qui est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5.3</w:t>
      </w:r>
    </w:p>
    <w:p>
      <w:r>
        <w:t>Aux termes de l'ancien art. 80 al. 1 de l'OASA, dont les principes et définitions ont été repris dans la LEI et sont donc valables tant sous l'ancien droit que le nouveau,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5.4</w:t>
      </w:r>
    </w:p>
    <w:p>
      <w:r>
        <w:t>Une interdiction d'entrée peut notamment être prononcée lorsque l'étranger a violé les prescriptions du droit en matière d'étrangers (cf. le Message précité, FF 2002 3568). Aussi, selon la jurisprudence, le fait d'entrer, de séjourner ou de travailler en Suisse sans autorisation constitue une violation grave des prescriptions de police des étrangers (cf. notamment arrêt du Tribunal administratif fédéral C 5001/2014 du 30 juin 2015 consid. 4.3.3 et la jurisprudence citée).</w:t>
      </w:r>
    </w:p>
    <w:p>
      <w:r>
        <w:rPr>
          <w:b/>
        </w:rPr>
        <w:t>E. 5.5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ATF 139 II 121 consid. 6.5.1 ; ATAF 2017 VII/2 consid. 4.5 et la réf. cit.).</w:t>
      </w:r>
    </w:p>
    <w:p>
      <w:r>
        <w:rPr>
          <w:b/>
        </w:rPr>
        <w:t>E. 5.6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6.1</w:t>
      </w:r>
    </w:p>
    <w:p>
      <w:r>
        <w:t>En l'occurrence, l'autorité inférieure a prononcé une décision d'interdiction d'entrée en Suisse d'une durée d'un an à l'encontre de la recourante. Elle a considéré qu'une telle mesure d'éloignement s'imposait en raison du fait que par la violation des limites temporelles de son visa, la prénommée avait, durant sa présence sur le territoire helvétique, mis en danger la sécurité et l'ordre publics.</w:t>
      </w:r>
    </w:p>
    <w:p>
      <w:r>
        <w:rPr>
          <w:b/>
        </w:rPr>
        <w:t>E. 6.2</w:t>
      </w:r>
    </w:p>
    <w:p>
      <w:r>
        <w:t>Il convient donc d'examiner, d'une part, si la recourante a attenté par son comportement à la sécurité et à l'ordre publics ou les a mis en danger au sens de l'art. 67 al. 2 let. a LEtr, ce qui justifierait le prononcé d'une mesure d'interdiction d'entrée dans son principe, et, d'autre part, si la durée de la mesure d'éloignement est conforme au principe de proportionnalité.</w:t>
      </w:r>
    </w:p>
    <w:p>
      <w:r>
        <w:rPr>
          <w:b/>
        </w:rPr>
        <w:t>E. 7.1</w:t>
      </w:r>
    </w:p>
    <w:p>
      <w:r>
        <w:t>En l'espèce, la recourante a séjourné en Suisse du 15 au 26 mai 2018, puis entre le 4 juillet 2018 et le 24 octobre 2018. Le calcul du nombre de jour doit se faire depuis la date de sortie de Suisse, le 24 octobre 2018, en considérant tous les séjours effectués durant les 180 jours (ou 6 mois) qui précédaient cette sortie, soit en l'occurrence, comme l'a souligné l'autorité inférieure, sur une période allant du 15 mai 2018 au 24 octobre 2018. Selon un tel cet examen, le séjour en Suisse de la recourante dépassait depuis le 20 septembre 2018 les limites temporelles du visa accordé, et ce pour une durée de 35 jours.</w:t>
      </w:r>
    </w:p>
    <w:p>
      <w:r>
        <w:rPr>
          <w:b/>
        </w:rPr>
        <w:t>E. 7.2</w:t>
      </w:r>
    </w:p>
    <w:p>
      <w:r>
        <w:t>La recourante a ainsi commis une infraction à la LEtr, et est donc demeurée illégalement en Suisse à partir du jour de fin de validité de son visa. Dans ces circonstances, le Tribunal est amené à conclure que la recourante, par son comportement délictueux en Suisse, a indiscutablement attenté à la sécurité et à l'ordre publics, de sorte qu'elle remplit les conditions d'application de l'art. 67 al. 2 let. a LEtr. Ainsi, la mesure d'interdiction d'entrée prononcée le 19 novembre 2018 est justifiée dans son principe.</w:t>
      </w:r>
    </w:p>
    <w:p>
      <w:r>
        <w:rPr>
          <w:b/>
        </w:rPr>
        <w:t>E. 8</w:t>
      </w:r>
    </w:p>
    <w:p>
      <w:r>
        <w:t>Cela étant, il reste encore à vérifier si la durée d'un an de la mesure d'éloignement prise par le SEM satisfait aux principes de proportionnalité et d'égalité de traitement. Dans le cadre de cet examen-là, l'autorité dispose toujours d'un plein pouvoir d'appréciation.</w:t>
      </w:r>
    </w:p>
    <w:p>
      <w:r>
        <w:rPr>
          <w:b/>
        </w:rPr>
        <w:t>E. 8.1</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8.2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les réf. cit.).</w:t>
      </w:r>
    </w:p>
    <w:p>
      <w:r>
        <w:rPr>
          <w:b/>
        </w:rPr>
        <w:t>E. 8.3</w:t>
      </w:r>
    </w:p>
    <w:p>
      <w:r>
        <w:t>En l'espèce, il appert que le motif retenu à l'appui de la mesure d'éloignement prise à l'endroit de la recourante (séjour illégal) ne saurait être contesté et que l'infraction aux prescriptions de police des étrangers doit être qualifiée de grave (cf. consid. 5.4. supra). Or, compte tenu du nombre élevé de contraventions commises par les étrangers en termes de séjour illégal, les autorités sont contraintes d'intervenir avec sévérité afin d'assurer la stricte application des prescriptions édictées dans ce domaine. Dans ces circonstances, l'intérêt personnel de la recourante à revenir en Suisse, respectivement dans l'Espace Schengen, ne saurait être prépondérant par rapport à l'intérêt public à son éloignement.</w:t>
      </w:r>
    </w:p>
    <w:p>
      <w:r>
        <w:rPr>
          <w:b/>
        </w:rPr>
        <w:t>E. 8.4</w:t>
      </w:r>
    </w:p>
    <w:p>
      <w:r>
        <w:t>La recourante a argué que son comportement délictueux avait pour origine la situation médicale du compagnon de sa mère qui « [avait] subi une grosse intervention chirurgicale et qui, à la sortie de l'hôpital, avait besoin d'une assistance à la maison pendant un minimum d'un mois ». Toutefois, ainsi que l'a noté l'autorité inférieure, la recourante n'avait fait aucune mention de la convalescence du compagnon de sa mère lors de son interpellation à sa sortie de Suisse le 24 octobre 2018. De plus, la recourante n'a pas établi que sa présence auprès du compagnon de sa mère fût nécessaire, et pourquoi les soins par lui requis n'auraient pu être dispensés par sa mère ou une personne autre que la recourante.</w:t>
      </w:r>
    </w:p>
    <w:p>
      <w:r>
        <w:rPr>
          <w:b/>
        </w:rPr>
        <w:t>E. 8.5</w:t>
      </w:r>
    </w:p>
    <w:p>
      <w:r>
        <w:t>Enfin, en ce qui concerne l'argument selon lequel la recourante aurait agi de bonne foi en interprétant de manière erronée les conditions de son visa, il sied de rappeler que de jurisprudence constante, la méconnaissance ou la mésinterprétation de la réglementation en matière de visa ou de séjour ne constitue pas un motif de renonciation au prononcé d'une mesure d'éloignement (cf. arrêts du TAF F-6487/16 du 31 mai 2017 consid. 5.4 et F-5520/15 du 19 juillet 2016 consid. 5.1 in fine et réf. cit.). Il s'agit là d'une concrétisation de la présomption selon laquelle nul n'est censé ignorer la loi (ATF 131 IV 183 consid. 3.1.1; 123 II 241 consid. 3e ; arrêt du TF 2C_951/2014 du 16 avril 2015 consid. 3.1.1). Il incombait donc à la recourante de se renseigner précisément sur les modalités exactes qui étaient attachées à son visa et le cas échéant, de demander une dérogation aux autorités compétentes si elle souhaitait prolonger son séjour en Suisse au-delà des limites temporelles permises. L'argument donc selon lequel elle se serait trompée de bonne foi en ayant mal compris ou mal interprété les conditions du visa qui lui avait été octroyé ne lui est d'aucun secours, pas plus que le fait qu'elle aurait respecté les conditions temporelles des six visas précédemment obtenus. Au contraire, le respect des conditions temporelles de visas passés tendrait plutôt à indiquer que la recourante connaissait les restrictions de temps attachées aux visas Schengen, mais qu'elle avait pris le risque de ne pas les observer dans les circonstances du cas d'espèce</w:t>
      </w:r>
    </w:p>
    <w:p>
      <w:r>
        <w:rPr>
          <w:b/>
        </w:rPr>
        <w:t>E. 8.6</w:t>
      </w:r>
    </w:p>
    <w:p>
      <w:r>
        <w:t>Tenant compte de l'ensemble des éléments objectifs et subjectifs de la cause, le Tribunal considère que l'interdiction d'entrée en Suisse d'une durée d'un an prise par l'autorité inférieure le 19 novembre 2018 est nécessaire et adéquate. La durée de la mesure - un an - tient suffisamment compte de l'intérêt privé de la recourante relatif à ses liens familiaux ou affectifs et, partant, respecte le principe de proportionnalité.</w:t>
      </w:r>
    </w:p>
    <w:p>
      <w:r>
        <w:rPr>
          <w:b/>
        </w:rPr>
        <w:t>E. 8.7</w:t>
      </w:r>
    </w:p>
    <w:p>
      <w:r>
        <w:t>Par ailleurs, considérant les décisions prises par les autorités dans des cas analogues, la mesure n'est pas contraire au principe de l'égalité de traitement, lorsqu'on la compare aux décisions prises par les autorités suisses dans des cas analogues (cf. par exemple, l'arrêt TAF dans la cause C-5587/2011 du 2 juillet 2012, où des infractions à la LEtr avaient dans des circonstances quasiment identiques justifié une mesure d'interdiction d'entrée d'un an). Il convient par conséquent de confirmer la décision de l'autorité inférieure.</w:t>
      </w:r>
    </w:p>
    <w:p>
      <w:r>
        <w:rPr>
          <w:b/>
        </w:rPr>
        <w:t>E. 9.1</w:t>
      </w:r>
    </w:p>
    <w:p>
      <w:r>
        <w:t>Dans sa décision du 19 novembre 2018, le SEM a ordonné l'inscription de l'interdiction d'entrée dans le SIS. Ainsi que cela ressort du dossier, la recourante est une ressortissante d'un pays tiers au sens de la législation de l'Union européenne.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du règlement SIS II). Il l'est d'autant plus que la Suisse, dans le champ d'application des règles de Schengen, se doit de préserver les intérêts de tous les Etats parties aux accords d'association à Schengen (cf. ATAF 2011/48 consid. 6.1).</w:t>
      </w:r>
    </w:p>
    <w:p>
      <w:r>
        <w:rPr>
          <w:b/>
        </w:rPr>
        <w:t>E. 9.2</w:t>
      </w:r>
    </w:p>
    <w:p>
      <w:r>
        <w:t>La recourante n'a pas spécifiquement contesté l'inscription SIS durant la présente procédure de recours. En tout état de cause, compte tenu de l'ensemble des éléments qui précèdent, c'est à bon droit que le SEM a ordonné l'inscription de la mesure d'éloignement au SIS.</w:t>
      </w:r>
    </w:p>
    <w:p>
      <w:r>
        <w:rPr>
          <w:b/>
        </w:rPr>
        <w:t>E. 10</w:t>
      </w:r>
    </w:p>
    <w:p>
      <w:r>
        <w:t>Il ressort de ce qui précède qu'en interdisant à l'intéressée d'entrer en Suisse jusqu'au 18 novembre 2019, le SEM n'a ni violé le droit fédéral, ni constaté des faits pertinents de manière inexacte ou incomplète. Sa décision n'est en outre pas inopportune (cf. art. 49 PA). Le recours est dès lors rejeté.</w:t>
      </w:r>
    </w:p>
    <w:p>
      <w:r>
        <w:rPr>
          <w:b/>
        </w:rPr>
        <w:t>E. 11</w:t>
      </w:r>
    </w:p>
    <w:p>
      <w:r>
        <w:t>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