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F-7401/2025 vom 27. Oktober 2025</w:t>
      </w:r>
    </w:p>
    <w:p>
      <w:r>
        <w:t>Bundesverwaltungsgericht, 2025-10-27, DE</w:t>
      </w:r>
    </w:p>
    <w:p>
      <w:r>
        <w:rPr>
          <w:b/>
        </w:rPr>
        <w:t xml:space="preserve">Quelle: </w:t>
      </w:r>
      <w:r>
        <w:t>https://mcp.opencaselaw.ch/entscheid/bvger_F-7401_2025</w:t>
      </w:r>
    </w:p>
    <w:p>
      <w:r>
        <w:t>FR: TAF F-7401/2025 du 27 octobre 2025</w:t>
      </w:r>
    </w:p>
    <w:p>
      <w:r>
        <w:t>IT: TAF F-7401/2025 del 27 ottobre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Das Bundesverwaltungsgericht ist zuständig (Art. 105 AsylG i.V.m. Art. 31 VGG) und die Sachurteilsvoraussetzungen sind erfüllt, sodass auf die Beschwerde - unter Vorbehalt nachfolgender Erwägung - einzutreten ist (Art. 48 Abs. 1 VwVG, Art. 108 Abs. 3 AsylG und Art. 52 Abs. 1 VwVG). Das Gericht entscheidet über diese endgültig (vgl. Art. 83 Bst. d Ziff. 1 BGG).</w:t>
      </w:r>
    </w:p>
    <w:p>
      <w:r>
        <w:rPr>
          <w:b/>
        </w:rPr>
        <w:t>E. 1.3</w:t>
      </w:r>
    </w:p>
    <w:p>
      <w:r>
        <w:t>Bei Beschwerden gegen Nichteintretensentscheide, mit denen es die Vorinstanz ablehnt, das Asylgesuch auf seine Begründetheit zu überprüfen (Art. 31a Abs. 1-3 AsylG), ist die Beurteilungskompetenz der Beschwerdeinstanz grundsätzlich auf die Frage beschränkt, ob die Vorinstanz zu Recht auf das Asylgesuch nicht eingetreten ist (vgl. BVGE 2017 VI/5 E. 3.1; 2012/4 E. 2.2; je m.w.H.). Die Fragen der Flüchtlingseigenschaft und der Asylgewährung sowie die allfällige Feststellung der Unzulässigkeit, Unzumutbarkeit und/oder Unmöglichkeit des Wegweisungsvollzuges unter Art. 83 Abs. 2-4 AIG und damit verknüpft die allfällige Anordnung einer vorläufigen Aufnahme waren demgegenüber im vorinstanzlichen Verfahren nicht zu prüfen. Sie können folglich nicht zum Gegenstand des Beschwerdeverfahrens gemacht werden, weshalb auf die entsprechenden Anträge nicht einzutreten ist.</w:t>
      </w:r>
    </w:p>
    <w:p>
      <w:r>
        <w:rPr>
          <w:b/>
        </w:rPr>
        <w:t>E. 1.4</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(Art. 111a Abs. 1 und 2 AsylG) zu behandeln ist.</w:t>
      </w:r>
    </w:p>
    <w:p>
      <w:r>
        <w:rPr>
          <w:b/>
        </w:rPr>
        <w:t>E. 2.1</w:t>
      </w:r>
    </w:p>
    <w:p>
      <w:r>
        <w:t>Die Vorinstanz hat korrekt erwogen, dass gemäss Art. 18 Abs. 1 Bst. d Dublin-III-VO (negativer Asylentscheid) grundsätzlich Österreich für die Durchführung des Asyl- und Wegweisungsverfahrens des Beschwerdeführers zuständig ist, auch wenn das dortige Asylverfahren bereits rechtskräftig abgeschlossen ist, dass das österreichische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zu Recht erkannt, dass keine konkreten Hinweise dafür vorliegen, dass der Beschwerdeführer bei einer Überstellung gravierenden Menschenrechtsverletzungen im Sinne von Art. 3 EMRK ausgesetzt oder unter Verletzung des Non-Refoulement-Gebots in seinen Heimatsstaat überstellt würde oder dass er bei einer Rückkehr nach Österreich in eine existenzielle Notlage geraten würde. Darüber hinaus hat die Vorinstanz in rechtsfehlerfreier Ausübung des ihr nach Art. 17 Abs. 1 Dublin-III-VO und Art. 29a Abs. 3 der Asylverordnung 1 vom 11. August 1999 (AsylV 1, SR 142.311) zukommenden Ermessens von einem freiwilligen Selbsteintritt der Schweiz abgesehen. Sie hat den Gesundheitszustand des Beschwerdeführers hinreichend abgeklärt, in den Überstellungsmodalitäten aufgeführt und korrekt dahingehend gewürdigt, dass ihm in Österreich der Zugang zu medizinischer Notfallversorgung und unbedingt erforderlichen Behandlungen von Krankheiten offensteht. Die Vorinstanz ist demnach zu Recht in Anwendung von Art. 31a Abs. 1 Bst. b AsylG auf das Asylgesuch des Beschwerdeführers nicht eingetreten und hat in Anwendung von Art. 44 AsylG dessen Wegweisung nach Österreich angeordnet. Zur näheren Begründung wird auf die korrekten vorinstanzlichen Erwägungen verwiesen.</w:t>
      </w:r>
    </w:p>
    <w:p>
      <w:r>
        <w:rPr>
          <w:b/>
        </w:rPr>
        <w:t>E. 2.2</w:t>
      </w:r>
    </w:p>
    <w:p>
      <w:r>
        <w:t>Was der Beschwerdeführer auf Rechtsmittelebene vorbringt, vermag an der Richtigkeit der vorinstanzlichen Verfügung nichts zu ändern. Dies gilt namentlich auch für die vorgebrachten Gesundheitsprobleme (kaputte Zähne und Drogenprobleme). Österreich verfügt über eine ausreichende, für Dublin-Überstellte hinreichend zugängliche medizinische Infrastruktur (Urteile des BVGer F-1124/2025 vom 5. März 2025 E. 2.2; F-74/2025 vom 17. Februar 2025 E. 3.2.2) und es liegen keine konkreten Hinweise vor, wonach Österreich ihm den Zugang zu allenfalls benötigten Behandlungen verweigern würde. Nach dem Gesagten besteht auch kein Anlass, die Sache zur vollständigen Erstellung des Sachverhalts an die Vorinstanz zurückzuweisen oder diese anzuweisen, individuelle Zusicherungen von Österreich einzuholen, weshalb der entsprechende Eventual- sowie der Subeventualantrag abzuweisen sind.</w:t>
      </w:r>
    </w:p>
    <w:p>
      <w:r>
        <w:rPr>
          <w:b/>
        </w:rPr>
        <w:t>E. 3</w:t>
      </w:r>
    </w:p>
    <w:p>
      <w:r>
        <w:t>Aus den vorstehenden Erwägungen ergibt sich, dass die angefochtene Verfügung vom 24. September 2025 nicht zu beanstanden ist. Die Beschwerde ist abzuweisen, soweit darauf einzutreten ist.</w:t>
      </w:r>
    </w:p>
    <w:p>
      <w:r>
        <w:rPr>
          <w:b/>
        </w:rPr>
        <w:t>E. 4</w:t>
      </w:r>
    </w:p>
    <w:p>
      <w:r>
        <w:t>Mit vorliegendem Urteil wird der Antrag auf Erteilung der aufschiebenden Wirkung gegenstandslos und fällt der am 29. September 2025 angeordnete Vollzugsstopp dahin.</w:t>
      </w:r>
    </w:p>
    <w:p>
      <w:r>
        <w:rPr>
          <w:b/>
        </w:rPr>
        <w:t>E. 5</w:t>
      </w:r>
    </w:p>
    <w:p>
      <w:r>
        <w:t>Das Gesuch um Gewährung der unentgeltlichen Rechtspflege ist abzuweisen, da die Begehren - wie sich aus den vorstehenden Erwägungen ergibt - als aussichtlos zu bezeichnen sind und dies auch im Gesuchszeitpunkt waren.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