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F-7399/2016 vom 12. Januar 2018</w:t>
      </w:r>
    </w:p>
    <w:p>
      <w:r>
        <w:t>Bundesverwaltungsgericht, 2018-01-12, FR</w:t>
      </w:r>
    </w:p>
    <w:p>
      <w:r>
        <w:rPr>
          <w:b/>
        </w:rPr>
        <w:t xml:space="preserve">Quelle: </w:t>
      </w:r>
      <w:r>
        <w:t>https://mcp.opencaselaw.ch/entscheid/bvger_F-7399_2016</w:t>
      </w:r>
    </w:p>
    <w:p>
      <w:r>
        <w:t>FR: TAF F-7399/2016 du 12 janvier 2018</w:t>
      </w:r>
    </w:p>
    <w:p>
      <w:r>
        <w:t>IT: TAF F-7399/2016 del 12 gennaio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le Tribunal prend en considération l'état de fait régnant au moment où il statue (cf. ATAF 2014/1 consid. 2).</w:t>
      </w:r>
    </w:p>
    <w:p>
      <w:r>
        <w:rPr>
          <w:b/>
        </w:rPr>
        <w:t>E. 3.1</w:t>
      </w:r>
    </w:p>
    <w:p>
      <w:r>
        <w:t>Selon l'art. 67 al. 2 LEtr, le SEM peut interdire l'entrée en Suisse à un étranger s'il a attenté à la sécurité et à l'ordre publics en Suisse ou à l'étranger ou les a mis en danger (let. a). L'interdiction d'entrée est prononcée pour une durée maximale de 5 ans. Selon l'art. 67 al. 3 seconde phrase LEtr, l'interdiction d'entrée peut être prononcée pour une durée plus longue lorsque la personne concernée constitue une menace grave pour la sécurité et l'ordre publics, qui a été défini comme le palier II par le Tribunal fédéral (cf. ATF 139 II 121 consid. 6.2). Toutefois, sa durée sera limitée à 15 ans au maximum, ou à 20 ans en cas de récidive (cf. ATAF 2014/20 consid. 7). Si des raisons humanitaires ou d'autres motifs importants le justifient, l'autorité appelée à statuer peut s'abstenir de prononcer une interdiction d'entrée ou suspendre provisoirement ou définitivement une interdiction d'entrée (art. 67 al. 5 LEtr).</w:t>
      </w:r>
    </w:p>
    <w:p>
      <w:r>
        <w:rPr>
          <w:b/>
        </w:rPr>
        <w:t>E. 3.2</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de l'ordonnance du 24 octobre 2007 relative à l'admission, au séjour et à l'exercice d'une activité lucrative (OASA ;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3.3</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w:t>
      </w:r>
    </w:p>
    <w:p>
      <w:r>
        <w:rPr>
          <w:b/>
        </w:rPr>
        <w:t>E. 4</w:t>
      </w:r>
    </w:p>
    <w:p>
      <w:r>
        <w:t>En l'occurrence, l'autorité inférieure a retenu, dans la décision querellée du 26 octobre 2016, qu'une mesure d'éloignement de trois ans s'imposait en raison de la gravité des infractions commises par A._______ durant sa présence sur le territoire helvétique et de la mise en danger de la sécurité et de l'ordre publics qui en découlait. Il convient donc d'examiner si le recourant a attenté par son comportement à la sécurité et à l'ordre publics ou les a mis en danger au sens de l'art. 67 al. 2 let. a LEtr, ce qui justifierait le prononcé d'une mesure d'interdiction d'entrée dans son principe. L'examen du dossier montre que le comportement de l'intéressé durant sa présence sur territoire helvétique a donné lieu à une condamnation pénale en date du 14 mars 2016. Celle-ci a été prononcée suite à la violation des obligations en cas d'accident et à la violation grave des règles de la circulation routière de la part de l'intéressé. A ce stade, il s'impose donc de retenir que le recourant, par son comportement délictueux, a indiscutablement attenté à la sécurité et à l'ordre publics en Suisse, de sorte qu'il remplit les conditions d'application de l'art. 67 al. 2 let. a LEtr. Aussi la mesure d'interdiction d'entrée est-elle manifestement justifiée dans son principe.</w:t>
      </w:r>
    </w:p>
    <w:p>
      <w:r>
        <w:rPr>
          <w:b/>
        </w:rPr>
        <w:t>E. 5</w:t>
      </w:r>
    </w:p>
    <w:p>
      <w:r>
        <w:t>Il convient encore d'examiner si la mesure d'éloignement prise par l'autorité inférieure satisfait aux principes de proportionnalité et de l'égalité de traitement.</w:t>
      </w:r>
    </w:p>
    <w:p>
      <w:r>
        <w:rPr>
          <w:b/>
        </w:rPr>
        <w:t>E. 5.1</w:t>
      </w:r>
    </w:p>
    <w:p>
      <w:r>
        <w:t>Lorsque l'autorité administrative prononce une interdiction d'entrée en Suisse, elle doit en effet respecter les principes susmentionnés et s'interdire tout arbitraire. Toute mesure d'éloignement doit respecter le principe de la proportionnalité, conformément aux art. 5 al. 2 Cst., 36 al. 3 Cst. et 96 LEtr (cf. notamment ATF 139 II 121 consid. 6.5.1; 130 II 176 consid. 3.4.2, et les nombreuses réf.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138 I 331 consid. 7.4.3.1; arrêt du TF 2C_357/2009 du 16 novembre 2009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w:t>
      </w:r>
    </w:p>
    <w:p>
      <w:r>
        <w:rPr>
          <w:b/>
        </w:rPr>
        <w:t>E. 5.2</w:t>
      </w:r>
    </w:p>
    <w:p>
      <w:r>
        <w:t>Dans la présente affaire, le recourant a été condamné par le Ministère public du canton du Valais sur la base des art. 90 ch. 2 et 92 ch. 1 LCR. Si l'art. 92 ch. 1 LCR est une simple contravention, il en va différemment pour l'art. 90 ch. 2 LCR. Selon une jurisprudence désormais bien établie, l'art. 90 ch. 2 LCR est un délit qui suppose la réunion de deux éléments constitutifs objectifs cumulatifs, à savoir, d'une part, la violation objectivement grave d'une règle fondamentale de circulation et, d'autre part, la création d'un danger sérieux pour autrui (cf. Yvan Jeanneret, in: Commentaire Stämpfli, Les dispositions pénales de la Loi sur la circulation routière (LCR) du 19 décembre 1958, 2007, n. 19 art. 90 LCR). Cela étant, il ressort de l'ordonnance pénale du 14 mars 2016 que le prénommé n'a admis être impliqué dans l'accident de voiture que suite à l'arrivée de l'autre véhicule concerné. Il convient dès lors d'observer que celui-ci ne semble pas avoir pris conscience des enjeux et des conséquences de ses actes. Le recourant s'est également entêté à nier qu'il avait effectué un dépassement malgré une interdiction de dépasser, en précisant que la communication entre lui et la police était compliquée, dès lors qu'ils ne s'exprimaient pas dans la même langue (cf. mémoire de recours [pce TAF 1]). A ce sujet, le Tribunal de céans tient à rappeler que le recourant n'a pas formé opposition contre l'ordonnance pénale du 14 mars 2016 et qu'en conséquence, le fait qu'il remette en question devant le Tribunal de céans les faits pour lesquels il a été condamné dans cette ordonnance ne lui est d'aucun secours. S'agissant de l'argumentation du recourant selon lequel il pensait être victime d'une agression, elle ne paraît pas crédible au vu des circonstances du cas d'espèce. Sur ce point, le Tribunal peine en effet à comprendre comment le recourant aurait réellement pu penser qu'il était victime d'une tentative de vol alors qu'il se trouvait dans un véhicule en marche. Quoi qu'il en soit, le fait que le recourant ne reconnaisse pas avoir commis une faute en dépassant un véhicule sur une zone interdite à cet effet ne plaide pas en sa faveur. Au vu de ce qui précède, et contrairement à ce que semble croire le recourant, les infractions reprochées à A._______, en particulier la violation grave des règles de la circulation routière, doivent être qualifiées de graves.</w:t>
      </w:r>
    </w:p>
    <w:p>
      <w:r>
        <w:rPr>
          <w:b/>
        </w:rPr>
        <w:t>E. 5.3</w:t>
      </w:r>
    </w:p>
    <w:p>
      <w:r>
        <w:t>En rapport avec son intérêt privé, le recourant relève principalement qu'il doit se rendre plusieurs fois par année en Suisse afin de gérer ses affaires commerciales (cf. supra let. D). Il s'agit d'un motif pertinent dont il convient de tenir compte pour fixer la durée de la mesure d'éloignement. Toutefois, malgré le courrier du 16 novembre 2016 par lequel l'entreprise Y._______ a relevé, sans autre précision, la nécessité absolue (« unbedingt notwendig » pour le recourant de venir en Suisse (cf. pce TAF 1 annexe 1), le Tribunal de céans considère que celui-ci peut nommer un associé ou une personne de confiance pour le remplacer dans le cadre de ses obligations professionnelles en son absence du territoire helvétique. Il a également la possibilité de compenser son éloignement temporaire de Suisse par le biais de moyens de communication modernes, tels que skype. Ces circonstances permettent donc de relativiser quelque peu l'intérêt professionnel du recourant à se rendre dans ce pays, d'autant que la lettre précitée d'Y._______ contenait une motivation des plus succinctes. Dans, ce contexte, il sied de souligner que le SEM n'a usé de son pouvoir d'appréciation que de manière modérée, dès lors que les interdictions d'entrée sont prononcées pour une durée maximale de 5 ans et qu'elles peuvent être prononcées pour une durée maximale de 15 ans lorsque la personne concernée constitue une menace grave pour la sécurité et l'ordre publics, voire de 20 ans en cas de récidive (cf. supra consid. 3.1). A cela s'ajoute le fait que A._______ n'a aucune famille résidant en Suisse.</w:t>
      </w:r>
    </w:p>
    <w:p>
      <w:r>
        <w:rPr>
          <w:b/>
        </w:rPr>
        <w:t>E. 5.4</w:t>
      </w:r>
    </w:p>
    <w:p>
      <w:r>
        <w:t>Enfin, le Tribunal constate, au vu de l'ensemble du dossier, qu'il n'existe pas de raisons humanitaires ou d'autres motifs importants justifiant l'abstention ou la suspension de la mesure d'éloignement au sens de de l'art. 67 al. 5 LEtr.</w:t>
      </w:r>
    </w:p>
    <w:p>
      <w:r>
        <w:rPr>
          <w:b/>
        </w:rPr>
        <w:t>E. 5.5</w:t>
      </w:r>
    </w:p>
    <w:p>
      <w:r>
        <w:t>Tenant compte de l'ensemble des éléments objectifs et subjectifs de la cause, le Tribunal considère que l'interdiction d'entrée en Suisse prise par le SEM le 26 octobre 2016 à l'endroit du recourant est une mesure nécessaire et adéquate afin de prévenir toute nouvelle atteinte à la sécurité et à l'ordre publics en Suisse. Eu égard d'une part à la nature et à la gravité des infractions commises par A._______ et, d'autre part, à l'intérêt privé en cause, le Tribunal estime que la durée de trois ans sur laquelle porte l'interdiction d'entrée précitée à son endroit s'avère proportionnée.</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de la Loi fédérale du 13 juin 2008 sur les systèmes d'information de police de la Confédération [LSIP ; RS 361], en relation avec l'art. 6 let. a de l'Ordonnance du 8 mars 2013 sur la partie nationale du système d'information Schengen (N-SIS) et sur le bureau SIRENE [N-SIS ;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w:t>
      </w:r>
    </w:p>
    <w:p>
      <w:r>
        <w:rPr>
          <w:b/>
        </w:rPr>
        <w:t>E. 6.2</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Tribunal administratif fédéral C-5819/2012 du 26 août 2014 consid. 4 [non publié dans ATAF 2014/20] et C-2178/2013 du 9 avril 2014 consid. 3.2, et la jurisprudence citée).</w:t>
      </w:r>
    </w:p>
    <w:p>
      <w:r>
        <w:rPr>
          <w:b/>
        </w:rPr>
        <w:t>E. 6.3</w:t>
      </w:r>
    </w:p>
    <w:p>
      <w:r>
        <w:t>Dans la mesure où le recourant ne possède pas un titre de séjour en cours de validité délivré par un Etat partie à l'accord Schengen, et a commis une infraction passible d'une peine privative de liberté de 3 ans au plus (cf. art. 90 ch. 2 LCR), c'est à raison que le SEM a procédé à l'inscription de l'intéressé dans le SIS.</w:t>
      </w:r>
    </w:p>
    <w:p>
      <w:r>
        <w:rPr>
          <w:b/>
        </w:rPr>
        <w:t>E. 7</w:t>
      </w:r>
    </w:p>
    <w:p>
      <w:r>
        <w:t>Il ressort de ce qui précède que, par sa décision du 26 octobre 2016, l'autorité intimée n'a ni violé le droit fédéral, ni constaté des faits pertinents de manière inexacte ou incomplète; en outre, cette décision n'est pas inopportune (art. 49 LEtr). C'est donc de manière conforme au droit que le SEM a prononcé une interdiction d'entrée d'une durée de trois ans à l'endroit du recourant en application de l'art. 67 LEtr. En conséquence, le recours est rejeté. 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