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F-737/2025 vom 10. Februar 2025</w:t>
      </w:r>
    </w:p>
    <w:p>
      <w:r>
        <w:t>Bundesverwaltungsgericht, 2025-02-10, DE</w:t>
      </w:r>
    </w:p>
    <w:p>
      <w:r>
        <w:rPr>
          <w:b/>
        </w:rPr>
        <w:t xml:space="preserve">Quelle: </w:t>
      </w:r>
      <w:r>
        <w:t>https://mcp.opencaselaw.ch/entscheid/bvger_F-737_2025</w:t>
      </w:r>
    </w:p>
    <w:p>
      <w:r>
        <w:t>FR: TAF F-737/2025 du 10 février 2025</w:t>
      </w:r>
    </w:p>
    <w:p>
      <w:r>
        <w:t>IT: TAF F-737/2025 del 10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In der Beschwerde rügen die Beschwerdeführenden in formeller Hinsicht eine Verletzung des Untersuchungsgrundsatzes. So sei der medizinische Sachverhalt nicht ausreichend erstellt worden, um eine Prüfung des Kindeswohls vornehmen zu können. Die Feststellungen der Vorinstanz, wonach nicht davon auszugehen sei, dass im weiteren Verlauf bei der Beschwerdeführerin oder ihren minderjährigen Kindern wesentlich gravierendere Diagnosen gestellt würden, welche die Einschätzung der Vorinstanz ändern könnten oder in Kroatien nicht behandelbar wären, seien auf Grundlage unzureichender Informationen getroffen worden. Die Prognosen der Vorinstanz dürften nicht Berichte und Gutachten von Fachpersonen ersetzen.</w:t>
      </w:r>
    </w:p>
    <w:p>
      <w:r>
        <w:rPr>
          <w:b/>
        </w:rPr>
        <w:t>E. 3.1.1</w:t>
      </w:r>
    </w:p>
    <w:p>
      <w:r>
        <w:t>Die Sachverhaltsfeststellung ist mit Blick auf Art. 49 Bst. b VwVG unrichtig, wenn der Verfügung ein falscher oder aktenwidriger Sachverhalt zugrunde gelegt wird, sei es, weil die Rechtserheblichkeit einer Tatsache zu Unrecht verneint wird oder Beweise falsch gewürdigt worden sind; sie ist unvollständig, wenn nicht alle für den Entscheid rechtswesentlichen Sachumstände berücksichtigt worden sind (BVGE 2014/2 E. 5.1; 2008/43 E. 7.5.6; ferner Urteil des BGer 2C_802/2020 vom 12. März 2021 E. 1.2.1; Urteil des BVGer F-896/2021 vom 2. August 2023 E. 3.3.2; je m.H.).</w:t>
      </w:r>
    </w:p>
    <w:p>
      <w:r>
        <w:rPr>
          <w:b/>
        </w:rPr>
        <w:t>E. 3.1.2</w:t>
      </w:r>
    </w:p>
    <w:p>
      <w:r>
        <w:t>Das SEM hat den rechtserheblichen Sachverhalt zum Gesundheitszustand der Beschwerdeführenden hinreichend abgeklärt. Es hat bei der Prüfung des Sachverhalts die diesbezüglichen Schilderungen der Beschwerdeführerin 1 und die relevanten Unterlagen (vgl. SEM act. 21, 23 und 26) rechtsgenüglich berücksichtigt. Es ist weder dargetan noch ersichtlich, inwiefern die Vorinstanz dabei falschen Tatsachenfeststellungen unterlegen wäre. Es hat den medizinischen Sachverhalt gestützt auf die Angaben im Dublin-Gespräch, den in den Akten liegenden medizinischen Berichten und seinen eigenen Abklärungen zusammengefasst und entsprechend geprüft (vgl. SEM act. 28, S. 8 ff.). Es hat dies getan unter Berücksichtigung der einschlägigen Rechtsprechung des Europäischen Gerichtshofs für Menschenrechte (EGMR), des Zugangs zu medizinischer und insbesondere zu psychiatrisch-psychotherapeutischer Behandlung in Kroatien und der Bestimmungen des Übereinkommens vom 20. November 1989 über die Rechte des Kindes (KRK, SR 0.107). Es ist somit nicht ersichtlich, in welcher Hinsicht weitere Abklärungen hätten vorgenommen werden müssen (vgl. auch nachfolgende E. 5.3). Eine Verletzung des Untersuchungsgrundsatzes ist nicht festzustellen.</w:t>
      </w:r>
    </w:p>
    <w:p>
      <w:r>
        <w:rPr>
          <w:b/>
        </w:rPr>
        <w:t>E. 3.2</w:t>
      </w:r>
    </w:p>
    <w:p>
      <w:r>
        <w:t>Im Übrigen liegt auch keine Verletzung der Begründungspflicht vor. Das SEM hat im Rahmen einer Einzelfallprüfung nachvollziehbar aufgezeigt, von welchen Überlegungen es sich - gerade auch in individueller Hinsicht - leiten liess (vgl. SEM act. 28 S. 3 ff.). Dabei musste es sich nicht ausdrücklich mit jeder tatbestandlichen Behauptung und jedem rechtlichen Einwand auseinandersetzen, sondern durfte sich auf die wesentlichen Gesichtspunkte beschränken (BGE 143 III 65 E. 5.2), was es vorliegend getan hat. Eine Verletzung der Begründungspflicht ist auch deshalb zu verneinen, weil es den Beschwerdeführenden möglich war, sich ein Bild über die Tragweite des vorinstanzlichen Entscheides zu machen und diesen sachgerecht anzufechten. Dass sie die Auffassung der Vorinstanz hinsichtlich der Würdigung ihrer Aussagen und der Aktenlage nicht teilen, ist keine Verletzung des rechtlichen Gehörs, sondern betrifft die materielle Beurteilung der vorgebrachten Überstellungshindernisse.</w:t>
      </w:r>
    </w:p>
    <w:p>
      <w:r>
        <w:rPr>
          <w:b/>
        </w:rPr>
        <w:t>E. 3.3</w:t>
      </w:r>
    </w:p>
    <w:p>
      <w:r>
        <w:t>Die formelle Rüge erweist sich somit als unbegründet. Es besteht keine Veranlassung, die Sache zur rechtsgenüglichen Sachverhaltsabklärung und Neubeurteilung an die Vorinstanz zurückzuweisen und das diesbezügliche Eventualbegehren (Rechtsbegehren Ziff. 3)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4.3</w:t>
      </w:r>
    </w:p>
    <w:p>
      <w:r>
        <w:t>Die Pflicht eines Mitgliedstaates zur Wiederaufnahme eines Antragstellers nach Art. 18 Abs. 1 Bst. d Dublin-III-VO erlischt, wenn der zuständige Mitgliedstaat nachweisen kann, dass der Antragsteller das Hoheitsgebiet der Mitgliedstaaten für mindestens drei Monate verlassen hat (Art. 19 Abs. 2 Dublin-III-VO).</w:t>
      </w:r>
    </w:p>
    <w:p>
      <w:r>
        <w:rPr>
          <w:b/>
        </w:rPr>
        <w:t>E. 5.1</w:t>
      </w:r>
    </w:p>
    <w:p>
      <w:r>
        <w:t>Vorliegend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5.2</w:t>
      </w:r>
    </w:p>
    <w:p>
      <w:r>
        <w:t>Die Vorinstanz kam diesbezüglich mit zutreffender Begründung zu den folgenden Schlüssen, die zu bestätigen sind: Die grundsätzliche Zuständigkeit für die Durchführung des Asyl- und Wegweisungsverfahrens liegt bei Kroatien. Die Rückkehr in die Türkei am 29. November 2024 und der dortige rund zweiwöchige Aufenthalt vor der neuerlichen Einreise der Beschwerdeführenden in den Dublin-Raum (vgl. SEM act. 18/4) stellt kein über drei Monate dauernder Aufenthalt ausserhalb des Hoheitsgebietes der Mitgliedstaaten dar, der einen Übergang der Zuständigkeit auf die Schweiz nach Art. 19 Abs. 2 Dublin-III-VO rechtfertigen würde. Die Abnahme von Fingerabdrücken von asylsuchenden Personen stützt sich auf die Verordnung (EU) Nr. 603/2013 des Europäischen Parlaments und des Rates vom 26. Juni 2013 (Eurodac-Verordnung). Die in der Schweiz lebenden Verwandten (Nennung Verwandte) stellen keine Familienangehörigen im Sinne von Art. 2 Bst. g Dublin-III-VO dar, weshalb die Zuständigkeitskriterien zum Schutz der Familieneinheit (Art. 9 ff. Dublin-III-VO) nicht einschlägig sind. Das kroatische Asylsystem weist rechtsprechungsgemäss keine systemischen Mängel auf, aufgrund derer die Zuständigkeit gemäss Art. 3 Abs. 2 Dublin-III-VO auf die Schweiz übergehen würde. Vorliegend sind keine völkerrechtlichen Vollzugshindernisse ersichtlich, welche die Schweiz zu einem Selbsteintritt nach Art. 17 Abs. 1 Dublin-III-VO verpflichten würden. Weiter hielt die Vorinstanz korrekt fest, dass unkorrektes oder rechtswidriges Verhalten einzelner Mitarbeitender der kroatischen Sicherheitskräfte oder der Behörden entsprechend zur Anzeige gebracht werden können. Mit der Vorinstanz ist sodann davon auszugehen, dass die Beschwerdeführenden bei einer Überstellung keinen gravierenden Menschenrechtsverletzungen im Sinne von Art. 3 EMRK und 4 EU-Grundrechtecharta ausgesetzt oder ohne Prüfung ihrer Asylgesuche und unter Verletzung des Non-Refoulement-Gebots in ihren Heimatsstaat überstellt würden (vgl. Urteil des Gerichtshofs der Europäischen Union [EuGH] vom 30. November 2023, Rs. C-228/21, C-254/21, C-297/21, C-315/21 und C-328/21, § 103 ff.). Auch im Lichte von Art. 3 Abs. 1 KRK steht einer Überstellung nach Kroatien nichts entgegen: Der Beschwerdeführer 2 und die Beschwerdeführerin 3 sind aufgrund ihres Alters beziehungsmässig noch relativ stark auf ihre Mutter (Beschwerdeführerin 1) fixiert und angesichts der kurzen Aufenthaltsdauer in der Schweiz hier nicht verwurzelt, sodass ein Vollzug der Wegweisung nicht gegen das Kindeswohl spricht. Bei der Prüfung desselbigen ist das grundlegende Bedürfnis von Kindern zu berücksichtigen, in möglichst engem Kontakt mit ihren Eltern aufwachsen zu können. Den Akten sind keine Hinweise dafür zu entnehmen, dass die Gefahr bestehen könnte, die Kinder würden von ihrer Mutter getrennt. Es kann in Übereinstimmung mit der aktuellen Rechtsprechung davon ausgegangen werden, dass sie Zugang zu adäquater Unterbringung und Unterstützung erhalten werden (vgl. Urteil des BVGer F-1562/2024 vom 18. März 2024 E. 9.2 m.H.). Schliesslich ist festzuhalten, dass allfällige psychische Probleme des Beschwerdeführers 2 angesichts der geltend gemachten traumatisierenden Erlebnisse in der Türkei, der daraus resultierende psychische Druck der Beschwerdeführerinnen und der angeführten unangenehmen Ereignisse in Kroatien leider nicht überraschen. Es sind indes keine Hinweise auf unverzüglich behandlungsbedürftige Beeinträchtigungen ersichtlich (vgl. nachstehend E. 5.3).</w:t>
      </w:r>
    </w:p>
    <w:p>
      <w:r>
        <w:rPr>
          <w:b/>
        </w:rPr>
        <w:t>E. 5.3</w:t>
      </w:r>
    </w:p>
    <w:p>
      <w:r>
        <w:t>Folgende medizinische Probleme der Beschwerdeführerin 1 (Nennung Leiden), des Beschwerdeführers 2 (Nennung Leiden und Diagnose) und der Beschwerdeführerin 3 (Nennung Leiden), welche jeweils begutachtet und behandelt wurden respektive weitere Folgetermine eingeleitet wurden, sind aktenmässig dokumentiert (vgl. SEM act. 23 und 26). Diese gesundheitlichen Probleme sind nicht derart schwerwiegend, dass davon ausgegangen werden müsste, die Beschwerdeführenden könnten nicht auch in Kroatien adäquat (weiter-)behandelt werden, wo grundsätzlich eine durchaus ausreichende medizinische Infrastruktur zur Verfügung steht (vgl. insbes. Referenzurteil E-1488/2020 a.a.O. E. 10.2, statt vieler das Urteil BVGer E-2952/2023 vom 31. Mai 2023 E. 7.3, je m.w.H.). Nebst den staatlichen Einrichtungen bestehen auch Angebote von Nichtregierungsorganisationen für die psychische Betreuung. Es kann davon ausgegangen werden, dass den Beschwerdeführenden eine angemessene medizinische Versorgung und eine allenfalls benötigte psychologische Therapie zur Verfügung stehen wird (vgl. statt vieler: Urteil des BVGer F-663/2023 vom 17. Januar 2024 E. 4.3 m.w.H.). Es gibt keine Anhaltspunkte dafür, dass ihnen dort nach einer Überstellung eine allenfalls erforderliche medizinische Behandlung verweigert würde, zumal die Mitgliedstaaten zur Erbringung medizinischer Leistungen verpflichtet sind (vgl. Art. 26 Aufnahmerichtlinie). Der medizinische Sachverhalt ist als genügend abgeklärt zu erachten. Eine Überstellung verstösst demnach auch in dieser Hinsicht nicht gegen Art. 3 EMRK.</w:t>
      </w:r>
    </w:p>
    <w:p>
      <w:r>
        <w:rPr>
          <w:b/>
        </w:rPr>
        <w:t>E. 5.4</w:t>
      </w:r>
    </w:p>
    <w:p>
      <w:r>
        <w:t>Aufgrund der konkreten Ausgangslage ist es nicht angezeigt, die Vor-instanz zu verpflichten, bei den kroatischen Behörden individuelle Zusicherungen bezüglich des Zugangs zum Asylverfahren, adäquater medizinischer Versorgung sowie Unterbringung einzuholen. Der entsprechende Eventualantrag (Rechtsbegehren Ziff. 4) ist abzuweisen.</w:t>
      </w:r>
    </w:p>
    <w:p>
      <w:r>
        <w:rPr>
          <w:b/>
        </w:rPr>
        <w:t>E. 5.5</w:t>
      </w:r>
    </w:p>
    <w:p>
      <w:r>
        <w:t>Nach dem Ausgeführten konnten die Beschwerdeführenden kein konkretes und ernsthaftes Risiko dartun, dass ihre Überstellung nach Kroatien die Verletzung völkerrechtlicher Bestimmungen zur Folge hätte. Ein notwendiger Selbsteintritt gebietet sich daher nicht.</w:t>
      </w:r>
    </w:p>
    <w:p>
      <w:r>
        <w:rPr>
          <w:b/>
        </w:rPr>
        <w:t>E. 6.1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w:t>
      </w:r>
    </w:p>
    <w:p>
      <w:r>
        <w:rPr>
          <w:b/>
        </w:rPr>
        <w:t>E. 6.2</w:t>
      </w:r>
    </w:p>
    <w:p>
      <w:r>
        <w:t>Nach dem Gesagten bleibt Kroatien der für die Behandlung der Asylgesuche der Beschwerdeführenden zuständige Mitgliedstaat gemäss Dublin-III-VO.</w:t>
      </w:r>
    </w:p>
    <w:p>
      <w:r>
        <w:rPr>
          <w:b/>
        </w:rPr>
        <w:t>E. 7</w:t>
      </w:r>
    </w:p>
    <w:p>
      <w:r>
        <w:t>Das SEM ist zu Recht in Anwendung von Art. 31a Abs. 1 Bst. b AsylG auf die Asylgesuche der Beschwerdeführenden nicht eingetreten. Die Überstellung nach Kroatien wurde in Anwendung von Art. 44 AsylG ebenfalls zu Recht angeordnet.</w:t>
      </w:r>
    </w:p>
    <w:p>
      <w:r>
        <w:rPr>
          <w:b/>
        </w:rPr>
        <w:t>E. 8</w:t>
      </w:r>
    </w:p>
    <w:p>
      <w:r>
        <w:t>Die Beschwerde ist abzuweisen und die Verfügung des SEM zu bestätigen.</w:t>
      </w:r>
    </w:p>
    <w:p>
      <w:r>
        <w:rPr>
          <w:b/>
        </w:rPr>
        <w:t>E. 9</w:t>
      </w:r>
    </w:p>
    <w:p>
      <w:r>
        <w:t>Mit dem Entscheid in der Hauptsache sind die Gesuche um Erteilung der aufschiebenden Wirkung und um Verzicht auf die Erhebung eines Kostenvorschusses gegenstandslos geworden. Der am 5. Februar 2025 verfügte einstweilige Vollzugsstopp fällt mit dem vorliegenden Urteil dahin.</w:t>
      </w:r>
    </w:p>
    <w:p>
      <w:r>
        <w:rPr>
          <w:b/>
        </w:rPr>
        <w:t>E. 10</w:t>
      </w:r>
    </w:p>
    <w:p>
      <w:r>
        <w:t>Das Gesuch um Gewährung der unentgeltlichen Prozessführung ist abzuweisen, da die Beschwerde gemäss den vorstehenden Erwägungen als aussichtslos zu bezeichnen war. Daher fehlt es, unbesehen der finanziellen Verhältnisse der Beschwerdeführerin 1, an einer gesetzlichen Voraussetzung gemäss Art. 65 Abs. 1 VwVG. Bei diesem Ausgang des Verfahrens sind ihnen die Kosten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