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F-7362/2025 vom 7. Oktober 2025</w:t>
      </w:r>
    </w:p>
    <w:p>
      <w:r>
        <w:t>Bundesverwaltungsgericht, 2025-10-07, DE</w:t>
      </w:r>
    </w:p>
    <w:p>
      <w:r>
        <w:rPr>
          <w:b/>
        </w:rPr>
        <w:t xml:space="preserve">Quelle: </w:t>
      </w:r>
      <w:r>
        <w:t>https://mcp.opencaselaw.ch/entscheid/bvger_F-7362_2025</w:t>
      </w:r>
    </w:p>
    <w:p>
      <w:r>
        <w:t>FR: TAF F-7362/2025 du 7 octobre 2025</w:t>
      </w:r>
    </w:p>
    <w:p>
      <w:r>
        <w:t>IT: TAF F-7362/2025 del 7 ottobre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Art. 31 ff. VGG) und die Sachurteilsvoraussetzungen sind erfüllt, so dass auf die Beschwerde einzutreten ist (Art. 48 Abs. 1 VwVG, Art. 108 Abs. 3 AsylG und Art. 52 Abs. 1 VwVG).</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d Dublin-III-VO grundsätzlich Belgien für die Behandlung des Asylgesuchs der Beschwerdeführerin zuständig ist, dass das belgische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der Beschwerdeführerin, sie sei ein potenzielles Opfer von Menschenhandel, ihre Rückkehr nach Belgien (Obdachlosigkeit, medizinische Behandlung, Zugang zum Arbeitsmarkt) sowie ihren Gesundheitszustand (Allergien, Kopfschmerzen, Müdigkeit, Zahnschmerzen, Einschlafprobleme, Albträume, Angst und depressive Verstimmung sowie Probleme hinsichtlich der Beschneidung, Rippen- Rücken- und Beinschmerzen)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der Beschwerdeführerin nicht eingetreten und hat in Anwendung von Art. 44 AsylG deren Wegweisung nach Belgien angeordnet. Zur näheren Begründung wird auf die Erwägungen der Vorinstanz verwiesen.</w:t>
      </w:r>
    </w:p>
    <w:p>
      <w:r>
        <w:rPr>
          <w:b/>
        </w:rPr>
        <w:t>E. 2.2</w:t>
      </w:r>
    </w:p>
    <w:p>
      <w:r>
        <w:t>Was die Beschwerdeführerin auf Rechtsmittelebene vorbringt, vermag an der Richtigkeit der angefochtenen Verfügung nichts zu ändern. Hinsichtlich des Umstandes, dass es sich bei der Beschwerdeführerin um ein potenzielles Opfer von Menschenhandel handelt, ist festzuhalten, dass die Entführung der Beschwerdeführerin bereits vor Jahren im Heimatland stattgefunden hat, weshalb das Risiko, vom Entführer ausfindig gemacht zu werden oder gar erneut in den Menschenhandelsprozess zu geraten (sog. Re-Trafficking), äusserst gering ist. Dies nicht zuletzt auch deshalb, weil die Beschwerdeführerin seit ihrer Flucht aus der behaupteten Gefangenschaft im September 2021 offenbar vom Entführer oder von mit diesem allenfalls in Verbindung stehenden Personen nicht mehr kontaktiert worden ist. Was den Gesundheitszustand der Beschwerdeführerin (psychisch und physisch stark belastet) angeht, sind diese Leiden selbst in ihrer Gesamtbetrachtung nicht derart gravierend, dass gestützt auf Art. 3 EMRK von einer Überstellung nach Belgien abgesehen werden müsste. Nichtsdestotrotz ist ergänzend darauf hinzuweisen, dass Belgien über eine ausreichende medizinische Infrastruktur verfügt. Auch die von der Beschwerdeführerin wiedergegebenen Berichte von Nichtregierungsorganisationen zur allgemeinen Asyl- und Aufnahmesituation in Belgien sowie die geltend gemachten Erlebnisse vermögen keine systemischen Mängel beziehungsweise eine Gefährdungslage im Sinne von Art. 3 Abs. 2 Dublin-III-VO zu belegen. Für eine Änderung der Rechtsprechung (zu den Voraussetzungen: BGE 147 V 342 E. 5.5.1 m.w.H.) besteht in Würdigung der von der Beschwerdeführerin gemachten Äusserungen keine Veranlassung. Es ist demnach davon auszugehen, dass Gesuchstellende, welche gestützt auf die Dublin-III-VO nach Belgien überstellt werden, Zugang zum dortigen Asylverfahren erhalten und Belgien die Sicherheit gestützt auf die Dublin-III-VO überstellter Personen garantiert und deren Rechte gemäss dem internationalen Recht einhält (siehe E. 2.1 hiervor).</w:t>
      </w:r>
    </w:p>
    <w:p>
      <w:r>
        <w:rPr>
          <w:b/>
        </w:rPr>
        <w:t>E. 2.3</w:t>
      </w:r>
    </w:p>
    <w:p>
      <w:r>
        <w:t>Entgegen den Vorbringen der Beschwerdeführerin liegt weder eine Verletzung des rechtlichen Gehörs in Form der Prüfungs- und Begründungspflicht noch eine Verletzung des Untersuchungsgrundsatzes vor. Wie aus der Begründung des angefochtenen Entscheids hervorgeht, bezog die Vorinstanz die von der Beschwerdeführerin geschilderten Erlebnisse im Zusammenhang mit dem potenziellen Menschenhandel in ihren Entscheid mit ein. Hinsichtlich der Gesundheitssituation der Beschwerdeführerin durfte die Vorinstanz den Sachverhalt angesichts der Aktenlage als hinreichend erstellt erachten. Da das belgische Asyl- und Aufnahmesystem rechtsprechungsgemäss keine systemischen Mängel aufweist, mithin über eine ausreichende medizinische Versorgung und Unterbringung verfügt, musste die Vorinstanz auch keine weiteren Abklärungen vornehmen. Dass die Beschwerdeführerin die Schlussfolgerungen der Vorinstanz nicht teilt, begründet keine unvollständige Sachverhaltsabklärung, sondern betrifft deren rechtliche Würdigung. Folglich ist der Eventualantrag, die Sache sei zu weiteren Sachverhaltsabklärungen an die Vorinstanz zurückzuweisen, abzuweisen.</w:t>
      </w:r>
    </w:p>
    <w:p>
      <w:r>
        <w:rPr>
          <w:b/>
        </w:rPr>
        <w:t>E. 2.4</w:t>
      </w:r>
    </w:p>
    <w:p>
      <w:r>
        <w:t>Schliesslich besteht kein Anlass, die Vorinstanz anzuweisen, explizit Zusicherungen hinsichtlich des Zugangs zu einem fairen Asylverfahren und der unmittelbaren adäquaten Unterbringung und medizinischen Versorgung bei den belgischen Behörden einzuholen. Der entsprechende Sub-eventualantrag ist ebenfalls abzuweisen.</w:t>
      </w:r>
    </w:p>
    <w:p>
      <w:r>
        <w:rPr>
          <w:b/>
        </w:rPr>
        <w:t>E. 3</w:t>
      </w:r>
    </w:p>
    <w:p>
      <w:r>
        <w:t>Nach dem Gesagten ist die angefochtene Verfügung nicht zu beanstanden (Art. 106 AsylG) und die Beschwerde ist abzuweisen.</w:t>
      </w:r>
    </w:p>
    <w:p>
      <w:r>
        <w:rPr>
          <w:b/>
        </w:rPr>
        <w:t>E. 4</w:t>
      </w:r>
    </w:p>
    <w:p>
      <w:r>
        <w:t>Mit vorliegendem Urteil fällt der am 26. September 2025 angeordnete Vollzugsstopp dahin und das Gesuch um Erteilung der aufschiebenden Wirkung wird gegenstandslos.</w:t>
      </w:r>
    </w:p>
    <w:p>
      <w:r>
        <w:rPr>
          <w:b/>
        </w:rPr>
        <w:t>E. 5.1</w:t>
      </w:r>
    </w:p>
    <w:p>
      <w:r>
        <w:t>Die Rechtsbegehren erweisen sich als aussichtslos, weshalb das Gesuch um unentgeltliche Prozessführung (Art. 65. Abs. 1 VwVG) abzuweisen ist.</w:t>
      </w:r>
    </w:p>
    <w:p>
      <w:r>
        <w:rPr>
          <w:b/>
        </w:rPr>
        <w:t>E. 5.2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