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F-7359/2025 vom 2. Oktober 2025</w:t>
      </w:r>
    </w:p>
    <w:p>
      <w:r>
        <w:t>Bundesverwaltungsgericht, 2025-10-02, DE</w:t>
      </w:r>
    </w:p>
    <w:p>
      <w:r>
        <w:rPr>
          <w:b/>
        </w:rPr>
        <w:t xml:space="preserve">Quelle: </w:t>
      </w:r>
      <w:r>
        <w:t>https://mcp.opencaselaw.ch/entscheid/bvger_F-7359_2025</w:t>
      </w:r>
    </w:p>
    <w:p>
      <w:r>
        <w:t>FR: TAF F-7359/2025 du 2 octobre 2025</w:t>
      </w:r>
    </w:p>
    <w:p>
      <w:r>
        <w:t>IT: TAF F-7359/2025 del 2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Der Beschwerdeführer ist zur Einreichung der Beschwerde legitimiert (Art. 105 AsylG und Art. 48 Abs. 1 VwVG). Auf die frist- und formgerecht eingereichte Beschwerde ist somit grundsätzlich einzutreten (Art. 108 Abs. 3 AsylG und Art. 52 Abs. 1 VwVG). Nicht eingetreten werden kann auf den Eventualantrag, der sinngemäss auf die Gewährung eines Aufenthaltsrechts im Hinblick auf eine bevorstehende Eheschliessung lautet. Dieser liegt ausserhalb des Anfechtungsgegenstands und ist folglich unzulässig.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1.3</w:t>
      </w:r>
    </w:p>
    <w:p>
      <w:r>
        <w:t>Das Bundesverwaltungsgericht entscheidet in der vorliegenden Angelegenheit endgültig (Art. 83 Bst. d Ziff. 1 BGG).</w:t>
      </w:r>
    </w:p>
    <w:p>
      <w:r>
        <w:rPr>
          <w:b/>
        </w:rPr>
        <w:t>E. 2.1</w:t>
      </w:r>
    </w:p>
    <w:p>
      <w:r>
        <w:t>Gemäss Art. 3 Abs. 1 Dublin-III-VO wird jeder Asylantrag von einem einzigen Mitgliedstaat geprüft, der nach den Kriterien des Kapitels III (Art. 8-15 Dublin-III-VO) als zuständiger Staat bestimmt wird (vgl. Art. 7 Abs. 1 Dublin-III-VO).</w:t>
      </w:r>
    </w:p>
    <w:p>
      <w:r>
        <w:rPr>
          <w:b/>
        </w:rPr>
        <w:t>E. 2.2</w:t>
      </w:r>
    </w:p>
    <w:p>
      <w:r>
        <w:t>Besitzt die antragstellende Person einen gültigen Aufenthaltstitel oder ein gültiges Visum, so ist der Mitgliedstaat, der den Aufenthaltstitel oder das Visum erteilt hat, für die Prüfung des Antrags auf internationalen Schutz zuständig (Art. 12 Abs. 1 und 2 Dublin-III-VO). Dessen Zuständigkeit bleibt bestehen, sofern der Aufenthaltstitel weniger als zwei Jahre respektive das Visum seit weniger als sechs Monaten abgelaufen ist (Art. 12 Abs. 4 Dublin-III-VO). Die Dublin-III-VO räumt den Schutzsuchenden kein Recht ein, den ihren Antrag prüfenden Staat selber auszuwählen (vgl. BVGE 2010/45 E. 8.3).</w:t>
      </w:r>
    </w:p>
    <w:p>
      <w:r>
        <w:rPr>
          <w:b/>
        </w:rPr>
        <w:t>E. 2.3</w:t>
      </w:r>
    </w:p>
    <w:p>
      <w:r>
        <w:t>Die Niederlande erteilten dem Beschwerdeführer einen Aufenthaltstitel bis zum 14. August 2025 sowie ein Rückreisevisum mit einer Gültigkeitsdauer vom 11. März 2025 bis 11. Juni 2025 und stimmten der Aufnahme (take charge) gestützt auf Art. 12 Abs. 2 Dublin-III-VO vorbehaltlos zu. Damit ist die grundsätzliche Zuständigkeit der Niederlande gegeben.</w:t>
      </w:r>
    </w:p>
    <w:p>
      <w:r>
        <w:rPr>
          <w:b/>
        </w:rPr>
        <w:t>E. 3.1</w:t>
      </w:r>
    </w:p>
    <w:p>
      <w:r>
        <w:t>Die Vorinstanz hat korrekt erwogen, dass keine wesentlichen Gründe für die Annahme von systemischen Schwachstellen des niederländischen Asyl- und Aufnahmesystems bestehen, die eine Zuständigkeit der Schweiz gemäss Art. 3 Abs. 2 Dublin-III-VO begründen würden (vgl. Urteil des BVGer F-1511/2024 vom 18. April 2024 E. 5.4). Dies macht der Beschwerdeführer im Übrigen auch nicht geltend.</w:t>
      </w:r>
    </w:p>
    <w:p>
      <w:r>
        <w:rPr>
          <w:b/>
        </w:rPr>
        <w:t>E. 3.2</w:t>
      </w:r>
    </w:p>
    <w:p>
      <w:r>
        <w:t>Weiter hat die Vorinstanz korrekt dargelegt, dass vorliegend keine völkerrechtlichen Vollzugshindernisse ersichtlich sind, welche die Schweiz zu einem Selbsteintritt nach Art. 17 Abs. 1 Dublin-III-VO verpflichten würden. Ebenso hat sie in rechtsfehlerfreier Ausübung des ihr zustehenden Ermessens von einem freiwilligen Selbsteintritt der Schweiz abgesehen (vgl. Art. 17 Abs. 1 Dublin-III-VO und Art. 29a Abs. 3 der Asylverordnung 1 vom 11. August 1999 [AsylV 1, SR 142.311]). Diesbezüglich hat sie die während des vorinstanzlichen Verfahrens eingereichten ärztlichen Atteste betreffend seine gesundheitlichen Beschwerden (Aufzählung Beschwerden) hinreichend gewürdigt und zutreffend erwogen, dass angemessene medizinische Versorgungsleistungen durch die Niederlande gewährleistet werden. Zudem hat sie in Bezug auf die vom Beschwerdeführer geltend gemachte Beziehung zu seiner Lebenspartnerin zu Recht festgehalten, dass keine dauerhafte respektive tatsächlich gelebte Beziehung vorliege, die in den Schutzbereich von Art. 8 Abs. 1 EMRK fallen würde (vgl. BGE 144 II 1 E. 6.1 m.w.H.). Die auf Beschwerdeebene eingereichten Informationsblätter zum Ehevorbereitungsverfahren sowie das Schreiben der Lebenspartnerin, wonach eine Eheschliessung und Familiengründung beabsichtigt seien, vermögen als Nachweis einer tatsächlich gelebten Beziehung nicht zu überzeugen. Die während des gesamten Verfahrens - sowohl vor der Vorinstanz als auch vor dem Bundesverwaltungsgericht - lediglich rudimentär gebliebenen Angaben lassen keinerlei Rückschlüsse auf die Dauer oder Intensität der Beziehung zu. Darüber hinaus unterliess es der Beschwerdeführer, die von ihm behauptete Schwangerschaft seiner Lebenspartnerin und ein damit verbundenes Kindsverhältnis zu belegen beziehungsweise diese in seiner Beschwerde überhaupt zu erwähnen. Vor diesem Hintergrund ist keine dauerhafte Beziehung eheähnlicher Intensität anzunehmen, die vom Schutzbereich von Art. 8 Abs. 1 EMRK erfasst ist. Das Ehevorbereitungsverfahren kann ohne weiteres im Ausland abgewartet werden und der Kontakt über die modernen Kommunikationsmittel aufrechterhalten werden.</w:t>
      </w:r>
    </w:p>
    <w:p>
      <w:r>
        <w:rPr>
          <w:b/>
        </w:rPr>
        <w:t>E. 3.3</w:t>
      </w:r>
    </w:p>
    <w:p>
      <w:r>
        <w:t>Zusammengefasst ist die Vorinstanz zu Recht auf das Asylgesuch des Beschwerdeführers nicht eingetreten (Art. 31a Abs. 1 Bst. b AsylG) und hat seine Wegweisung in die Niederlande angeordnet (Art. 44 AsylG). Die angefochtene Verfügung ist nicht zu beanstanden (Art. 106 AsylG) und die Beschwerde abzuweisen, soweit darauf einzutreten ist. Mit diesem Urteil fällt der am 26. September 2025 angeordnete Vollzugsstopp dahin.</w:t>
      </w:r>
    </w:p>
    <w:p>
      <w:r>
        <w:rPr>
          <w:b/>
        </w:rPr>
        <w:t>E. 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