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F-7357/2024 vom 13. November 2024</w:t>
      </w:r>
    </w:p>
    <w:p>
      <w:r>
        <w:t>Bundesverwaltungsgericht, 2024-11-13, DE</w:t>
      </w:r>
    </w:p>
    <w:p>
      <w:r>
        <w:rPr>
          <w:b/>
        </w:rPr>
        <w:t xml:space="preserve">Quelle: </w:t>
      </w:r>
      <w:r>
        <w:t>https://mcp.opencaselaw.ch/entscheid/bvger_F-7357_2024_d20241113</w:t>
      </w:r>
    </w:p>
    <w:p>
      <w:r>
        <w:t>FR: TAF F-7357/2024 du 13 novembre 2024</w:t>
      </w:r>
    </w:p>
    <w:p>
      <w:r>
        <w:t>IT: TAF F-7357/2024 del 13 novembre 2024</w:t>
      </w:r>
    </w:p>
    <w:p>
      <w:pPr>
        <w:pStyle w:val="Heading2"/>
      </w:pPr>
      <w:r>
        <w:t>Regeste</w:t>
      </w:r>
    </w:p>
    <w:p>
      <w:r>
        <w:t>Zuweisung der Asylsuchenden an die Kantone | Zuweisung der Asylsuchenden an die Kantone; Verfügung des SEM vom 13. November 2024</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 ständigkeit mit Zustimmung einer zweiten Richterin beziehungsweise eines zweiten Richters (Art. 111 Bst. e AsylG), ohne Durchführung eines Schrif- 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w:t>
      </w:r>
    </w:p>
    <w:p>
      <w:r>
        <w:t>F-7357/2024 Seite 4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vorbehält- lich der Bestimmungen, die unter den gleichen Umständen für ausländi- sche Personen im Allgemeinen gelten (vgl. Art.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Flüchtlinge daher einen Anspruch auf Kantonszuweisung beziehungsweise -wechsel in gleichem Umfange, wie er einer niedergelassenen Person gestützt auf Art. 37 Abs. 3 AIG zustünde (vgl. BVGE 2012/2 E. 5.2.2; Urteile des BVGer F-4282/2024 vom 12. Juli 2024 E. 2.2; F-1642/2024 vom 16. Mai 2024 E. 3.1; F-724/2020 vom 30. September 2022 E. 4.2.1; F-6485/2020 vom 10. August 2022 E. 3.2; SEM, Handbuch Asyl und Rückkehr, Artikel F6, Die Gesuche um Kantonswechsel, Ziff. 2.3, S. 9 ff., www.sem.ad- min.ch/sem/de/home/asyl/asylverfahren/nationaleverfahren/handbuch- asyl-rueckkehr.html &gt;, abgerufen am 13.11.2024; CONSTANTIN HRUSCHKA, in: Marc Spescha et al. [Hrsg.], OFK Migrationsrecht, 5. Aufl. 2019, Art. 27 AsylG N. 7; WALTER STÖCKLI, Flüchtlinge und Schutzbedürftige, in: Peter Uebersax et al. [Hrsg.], Handbuch Ausländerrecht, 3. Aufl. 2022 [nachfol- gend: Handbuch Ausländerrecht], Rz. 14.100 f. und Rz. 14.141; Schweize- rische Flüchtlingshilfe SFH [Hrsg.], Handbuch zum Asyl- und Wegwei- sungsverfahren, 3. Aufl. 2021, S. 489). Für eine Änderung der Rechtspre- chung (siehe zu den Voraussetzungen hierfür BGE 147 V 342 E. 5.5.1 m.w.H.) besteht keine Veranlassung (zur Kritik siehe immerhin PETER UEBERSAX/STEFAN SCHLEGEL, Einreise und Anwesenheit, Handbuch Aus- länderrecht, Rz. 9.434; Botschaft zur Änderung des Ausländer- und Integ- rationsgesetzes [Einschränkungen für Reisen ins Ausland und</w:t>
      </w:r>
    </w:p>
    <w:p>
      <w:r>
        <w:t>F-7357/2024 Seite 5 Anpassungen des Status der vorläufigen Aufnahme] vom 26. August 2020, in: BBl 2020 7457, 7470 und 7499; Art. 85b Abs. 5 AIG; siehe zum Ganzen auch Urteile des BVGer F-4282/2024 vom 12. Juli 2024 E. 2.2; F- 1642/2024 vom 16. Mai 2024 E. 3.1).</w:t>
      </w:r>
    </w:p>
    <w:p>
      <w:r>
        <w:rPr>
          <w:b/>
        </w:rPr>
        <w:t>E. 2.3</w:t>
      </w:r>
    </w:p>
    <w:p>
      <w:r>
        <w:t>Nachdem ihr die Vorinstanz am 13. November 2024 die Flüchtlingsei- genschaft zuerkannt hat, hat die Beschwerdeführerin grundsätzlich An- spruch auf freie Wahl des Aufenthaltsortes und Zuweisung in den von ihr beantragten Kanton. Vorbehalten bleibt das Vorliegen von Widerrufsgrün- den nach Art. 63 AIG (vgl. Art. 37 Abs. 3 AIG i.V.m. Art. 58 AsylG, Art. 6 und 26 FK; E. 2.2 hiervor; ferner: Urteil des BVGer F-724/2020 vom 30. Sep- tember 2024 E. 4.3). Die Vorinstanz hat sich in der angefochtenen Verfü- gung mit der Rechtsstellung der Beschwerdeführerin als Flüchtling und ih- rem Anspruch auf Zuweisung in den anbegehrten Kanton nicht auseinan- dergesetzt. Sie hat damit einen entscheidwesentlichen Aspekt gänzlich ausser Acht gelassen und den Anspruch der Beschwerdeführerin auf recht- liches Gehör (Art. 29 Abs. 2 BV; Art. 35 VwVG) verletzt (vgl. BGE 149 V 156 E. 6.1). Ausserdem hat sie nicht geprüft, ob einer Zuweisung der Be- schwerdeführerin in den Kanton Solothurn Widerrufsgründe im Sinne von Art. 63 AIG entgegenstehen könnten. Insoweit erweist sich der Sachverhalt zudem als unvollständig abgeklärt, und der Untersuchungsgrundsatz ist verletzt (Art. 6 AsylG i.V.m. Art. 12 VwVG; Art. 49 Bst. b VwVG; siehe auch Urteile des BVGer F-4282/2024 vom 12. Juli 2024 E. 2.3; F-1642/2024 vom 16. Mai 2024 E. 3.2).</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kann die Beschwerdeführerin nicht auf die nachträgliche Stellung eines Kantons- wechselgesuchs verwiesen werden, denn entweder kann sie gestützt auf Art. 26 FK ihren Aufenthaltsort wählen, oder nicht (vgl. E. 2.2 hiervor sowie Art. 60 Abs. 1 AsylG). Dispositivziffer 7 der angefochtenen Verfügung ist deshalb aufzuheben und die Sache zur vollständigen und richtigen Sach- verhaltsabklärung im Sinne der Erwägungen sowie zu neuer Entscheidung an die Vorinstanz zurückzuweisen. Diese wird insbesondere abzuklären haben, ob einer Zuweisung der Beschwerdeführerin in den Kanton</w:t>
      </w:r>
    </w:p>
    <w:p>
      <w:r>
        <w:t>F-7357/2024 Seite 6 Solothurn Widerrufsgründe im Sinne von Art. 63 AIG entgegenstehen kön- nen. Erforderlichenfalls wird sie den betroffenen Aufenthalts- und Zuzu- gskanton zu einer Stellungnahme betreffend Widerrufsgründe auffordern (vgl. auch SEM, Handbuch Asyl und Rückkehr, Artikel F6, Die Gesuche um Kantonswechsel, Ziff. 2.3.4, S. 10 f.).</w:t>
      </w:r>
    </w:p>
    <w:p>
      <w:r>
        <w:rPr>
          <w:b/>
        </w:rPr>
        <w:t>E. 3</w:t>
      </w:r>
    </w:p>
    <w:p>
      <w:r>
        <w:t>Die Beschwerde ist somit gutzuheissen. Dispositivziffer 7 der angefochte- nen Verfügung ist aufzuheben und die Sache zur vollständigen und richti- gen Sachverhaltsabklärung im Sinne der Erwägungen sowie zur neuen Entscheidung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Der obsiegenden Beschwerdeführerin ist für die durch die rechtliche Vertretung erwachsenen notwendigen Kosten zulasten der Vorinstanz eine Parteientschädigung zuzusprechen (Art. 64 Abs. 1 VwVG i.V.m. Art. 7 Abs. 1 des Reglements vom 21. Februar 2008 über die Kosten und Entschädi- gungen vor dem Bundesverwaltungsgericht [VGKE, SR 173.320.2]). Man- gels Kostennote ist die Parteientschädigung pauschal auf Fr. 1'200.– fest- zusetzen (Art. 14 Abs. 2 VGKE).</w:t>
      </w:r>
    </w:p>
    <w:p>
      <w:r>
        <w:rPr>
          <w:b/>
        </w:rPr>
        <w:t>E. 5</w:t>
      </w:r>
    </w:p>
    <w:p>
      <w:r>
        <w:t>Dieses Urteil ist endgültig (Art. 83 Bst. d Ziff. 1 BGG).</w:t>
      </w:r>
    </w:p>
    <w:p>
      <w:r>
        <w:t>(Dispositiv: nachfolgende Seite)</w:t>
      </w:r>
    </w:p>
    <w:p>
      <w:r>
        <w:t>F-7357/2024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