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F-7349/2017 vom 25. Oktober 2018</w:t>
      </w:r>
    </w:p>
    <w:p>
      <w:r>
        <w:t>Bundesverwaltungsgericht, 2018-10-25, DE</w:t>
      </w:r>
    </w:p>
    <w:p>
      <w:r>
        <w:rPr>
          <w:b/>
        </w:rPr>
        <w:t xml:space="preserve">Quelle: </w:t>
      </w:r>
      <w:r>
        <w:t>https://mcp.opencaselaw.ch/entscheid/bvger_F-7349_2017</w:t>
      </w:r>
    </w:p>
    <w:p>
      <w:r>
        <w:t>FR: TAF F-7349/2017 du 25 octobre 2018</w:t>
      </w:r>
    </w:p>
    <w:p>
      <w:r>
        <w:t>IT: TAF F-7349/2017 del 25 ottobre 2018</w:t>
      </w:r>
    </w:p>
    <w:p>
      <w:pPr>
        <w:pStyle w:val="Heading2"/>
      </w:pPr>
      <w:r>
        <w:t>Regeste</w:t>
      </w:r>
    </w:p>
    <w:p>
      <w:r>
        <w:t>Einreiseverbot</w:t>
      </w:r>
    </w:p>
    <w:p>
      <w:pPr>
        <w:pStyle w:val="Heading2"/>
      </w:pPr>
      <w:r>
        <w:t>Erwägungen</w:t>
      </w:r>
    </w:p>
    <w:p>
      <w:r>
        <w:rPr>
          <w:b/>
        </w:rPr>
        <w:t>E. 1</w:t>
      </w:r>
    </w:p>
    <w:p>
      <w:r>
        <w:t>1.1 Von der Vorinstanz erlassene Einreiseverbote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w:t>
      </w:r>
    </w:p>
    <w:p>
      <w:r>
        <w:rPr>
          <w:b/>
        </w:rPr>
        <w:t>E. 1.3</w:t>
      </w:r>
    </w:p>
    <w:p>
      <w:r>
        <w:t>Das Bundesverwaltungsgericht entscheidet in der vorliegenden Sache endgültig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wichtigen Gründen von der Verhängung eines Ein-reiseverbots absehen oder ein Einreiseverbot vollständig oder vorüberge-hend aufheben (Art. 67 Abs. 5 AuG). Einen Verstoss gegen die öffentliche Sicherheit und Ordnung im Sinne von Art. 67 Abs. 2 Bst. a AuG begeht, wer gesetzliche Vorschriften oder behördliche Verfügungen missachtet (vgl. Art. 80 Abs. 1 Bst. a der Verordnung vom 24. Oktober 2007 über Zulassung, Aufenthalt und Erwerbstätigkeit (VZAE, SR 142.201). Liegt ein solches Verhalten in der Vergangenheit vor, so wird die Gefahr entsprechender zukünftiger Störungen von Gesetzes wegen vermutet (vgl. BVGE 2017 VII/2 E. 4.4, Urteil des BVGer F-4405/2016 vom 28. Juni 2017 E. 4.2 je m.H.).</w:t>
      </w:r>
    </w:p>
    <w:p>
      <w:r>
        <w:rPr>
          <w:b/>
        </w:rPr>
        <w:t>E. 4</w:t>
      </w:r>
    </w:p>
    <w:p>
      <w:r>
        <w:t>Wie aus den kantonalen Akten ersichtlich ist, hat der Beschwerdeführer seine zwei Kinder anerkannt (vgl. Bst. H). Diese Tatsache hat die Vor- instanz bei der Feststellung des rechtserheblichen Sachverhalts übersehen. Aufgrund des Grundsatzes der Rechtsanwendung von Amtes wegen (Art. 62 Abs. 4 VwVG) hat dies auf den Ausgang des Verfahrens jedoch keinen Einfluss.</w:t>
      </w:r>
    </w:p>
    <w:p>
      <w:r>
        <w:rPr>
          <w:b/>
        </w:rPr>
        <w:t>E. 5</w:t>
      </w:r>
    </w:p>
    <w:p>
      <w:r>
        <w:t>5.1 Die Vorinstanz begründete ihre Verfügung u.a. damit, dass gegenüber dem Beschwerdeführer die Ausschaffungshaft angeordnet worden sei.</w:t>
      </w:r>
    </w:p>
    <w:p>
      <w:r>
        <w:rPr>
          <w:b/>
        </w:rPr>
        <w:t>E. 5.2</w:t>
      </w:r>
    </w:p>
    <w:p>
      <w:r>
        <w:t>Den Akten kann entnommen werden, dass der Migrationsdienst des Kantons Bern am 6. November 2017 die Ausschaffungshaft und die Ausschaffung des Beschwerdeführers anordnete (kant.-act. S. 343 ff.). Mit Entscheid vom 7. November 2017 hiess das kantonale Zwangsmassnahmengericht den Antrag des Migrationsdienstes des Kantons Bern vom 6. November 2017 auf Überprüfung der Rechtmässigkeit und Angemessenheit der Haft gut und bestätigte die Ausschaffungshaft bis zum 2. Februar 2018 (kant.-act. S. 366 ff.).</w:t>
      </w:r>
    </w:p>
    <w:p>
      <w:r>
        <w:rPr>
          <w:b/>
        </w:rPr>
        <w:t>E. 5.3</w:t>
      </w:r>
    </w:p>
    <w:p>
      <w:r>
        <w:t>Somit hat der Beschwerdeführer einen Fernhaltegrund im Sinne von Art. 67 Abs. 2 Bst. c AuG gesetzt.</w:t>
      </w:r>
    </w:p>
    <w:p>
      <w:r>
        <w:rPr>
          <w:b/>
        </w:rPr>
        <w:t>E. 6</w:t>
      </w:r>
    </w:p>
    <w:p>
      <w:r>
        <w:t>6.1 Des Weiteren begründete die Vorinstanz ihre Verfügung damit, dass der Beschwerdeführer mehrfach im schweizerischen Strafregister verzeichnet sei.</w:t>
      </w:r>
    </w:p>
    <w:p>
      <w:r>
        <w:rPr>
          <w:b/>
        </w:rPr>
        <w:t>E. 6.2</w:t>
      </w:r>
    </w:p>
    <w:p>
      <w:r>
        <w:t>Im Zeitraum zwischen Oktober 2013 bis November 2017 wurde der Beschwerdeführer siebenmal verurteilt: dreimal wegen Diebstahls, fünfmal wegen Übertretung nach Art. 19a BetmG, viermal wegen rechtswidrigen Aufenthalts, in einem Fall wegen mehrfacher Begehung, sowie in einem Fall wegen Missachtung der Ein- und Ausgrenzung. Er wurde insgesamt zu 140 Tagessätzen und 190 Tagen Freiheitsstrafe sowie Bussen von Fr. 1'800.- bestraft. (vgl. Bst. B - G und K).</w:t>
      </w:r>
    </w:p>
    <w:p>
      <w:r>
        <w:rPr>
          <w:b/>
        </w:rPr>
        <w:t>E. 6.3</w:t>
      </w:r>
    </w:p>
    <w:p>
      <w:r>
        <w:t>Damit hat der Beschwerdeführer vielfach Fernhaltegründe im Sinne von Art. 67 Abs. 2 Bst. a AuG gesetzt. 7.7.1 Den Entscheid darüber, ob ein Einreiseverbot anzuordnen und wie es innerhalb des zulässigen zeitlichen Rahmens zu befristen ist, legt Art. 67 Abs. 2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 7.2 Aus dem strafbaren Verhalten des Beschwerdeführers wird auf eine Gefährdung der öffentlichen Sicherheit und Ordnung geschlossen. An der Einhaltung der Rechtsordnung besteht ein gewichtiges öffentliches Interesse. Gewichtig ist zum einen das generalpräventiv motivierte Interesse, die öffentliche Ordnung durch eine konsequente Massnahmepraxis zu schützen. Zum anderen liegt eine spezialpräventive Zielsetzung der Massnahme darin, den Beschwerdeführer zu ermahnen, bei einer allfälligen künftigen Wiedereinreise nach dem Ablauf des Einreiseverbots die für ihn geltenden Regeln einzuhalten. Grundsätzlich besteht somit ein öffentliches Interesse an seiner befristeten Fernhaltung. 7.3 Dem öffentlichen Interesse sind des Weiteren die privaten Interessen des Beschwerdeführers gegenüber zu stellen. Der Beschwerdeführer verweist mit Bezug auf seine privaten Interessen insbesondere darauf, dass er Vater von zwei in der Schweiz lebenden Kindern sei. Die Kontaktpflege per Skype sei aufgrund des Alters der Kinder (knapp vier und zweieinhalb Jahre) eher schwierig. Um den Kontakt zu den Kindern nicht ganz zu verlieren, seien deshalb auch persönliche Kontakte notwendig. 7.3.1 Die vom Beschwerdeführer ins Feld geführte Einschränkung in der Ausübung familiärer Kontakte ist in erster Linie darauf zurückzuführen, dass er in der Schweiz kein Aufenthaltsrecht besitzt. Es kann sich im Rahmen des vorliegenden Verfahrens einzig die Frage stellen, ob die über die Verweigerung des Aufenthaltsrechts hinausgehende, durch das Einreiseverbot zusätzlich bewirkte Erschwernis vor Art. 8 EMRK und Art. 13 BV standhält. Bei der in diesem Zusammenhang vorzunehmenden Interessen-abwägung ist dem Kindeswohl Rechnung zu tragen (Art. 3 des Überein-kommens vom 20. November 1989 über die Rechte des Kindes [KRK, SR 0.107]). Das Kindesinteresse, mit beiden Elternteilen persönliche Kontakte pflegen zu können, ist im Rahmen der Interessenabwägung zu berücksich-tigen, geniesst allerdings keinen absoluten Vorrang (vgl. BVGE 2014/20 E. 8.3.6 m.H.). 7.3.2 Gemäss dem Entscheid der KESB Y._______ vom 1. März 2017 wurde den Inhabern der elterlichen Sorge ihr Aufenthaltsbestimmungsrecht über ihre Kinder entzogen. Die Kinder wurden in einer Pflegefamilie untergebracht. Auf die Festsetzung eines Elternbeitrags wurde aufgrund der finanziellen Situation der Eltern verzichtet. Den Eltern wurde das Recht zugesprochen, ihre beiden Kinder an den ersten drei Wochenenden des Monats zu sich auf Besuch zu nehmen. Demzufolge besteht aktuell weder in affektiver noch in wirtschaftlicher Hinsicht eine besonders enge Beziehung zwischen dem Beschwerdeführer und seinen Kindern. 7.3.3 Minimale Kontakte mit seinen Kindern können, wie von der KESB Y._______ vorgeschlagen, mit Skype aufrechterhalten werden. Die vom Beschwerdeführer vorgebrachten Schwierigkeiten in der Kommunikation dürften wohl auch an den - wie von ihm vorgebracht - mangelnden Deutschkenntnissen seinerseits liegen und nicht nur am Alter der Kinder. Mit dem Einreiseverbot geht im Übrigen kein absolutes Verbot von Einreisen in die Schweiz einher. Vielmehr besteht die Möglichkeit, aus wichtigen Gründen die zeitweilige Suspension einer bestehenden Fernhaltemassnahme zu beantragen (Art. 67 Abs. 5 AuG), wobei diese aber praxisgemäss nur für eine kurze und klar begrenzte Zeit gewährt wird. Die mit dem Einreiseverbot verbundenen Einschränkungen gilt es demnach zu relativieren. 7.4 Das verhängte Einreiseverbot stellt somit sowohl im Grundsatz als auch hinsichtlich der Dauer eine verhältnismässige und angemessene Massnahme zum Schutz der öffentlichen Sicherheit und Ordnung dar. Es ist demzufolge zu bestätigen. Die damit einhergehende Erschwerung des Familienlebens wird durch das öffentliche Fernhalteinteresse gedeckt und ist daher nach Massgabe von Art. 8 Ziff. 2 EMRK und Art. 36 BV gerechtfertigt. 8.8.1 Abschliessend gilt es, die Rechtsmässigkeit der von der Vorinstanz angeordneten Ausschreibung des Einreiseverbots im SIS zu prüfen. 8.2 Durch die vorinstanzliche Anordnung der Ausschreibung des Einreiseverbots im SIS wird dem Beschwerdeführer grundsätzlich die Einreise in das Hoheitsgebiet aller Mitgliedstaaten verboten (vgl. Art. 5 Abs. 1 Bst. d sowie Art. 13 Abs. 1 Schengener Grenzkodex). 8.3 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 9.Die Vorinstanz hat mit der angefochtenen Verfügung Bundesrecht nicht verletzt. Die Verfügung ist auch angemessen (Art. 49 VwVG). Die Beschwerde ist daher abzuweisen. 10.10.1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1. März 2018 wurde der Entscheid über das Gesuch betreffend unentgeltliche Rechtspflege auf einen späteren Zeitpunkt verschoben, weshalb dies nun nachzuholen ist. 10.2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10.3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