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F-7303/2015 vom 11. August 2017</w:t>
      </w:r>
    </w:p>
    <w:p>
      <w:r>
        <w:t>Bundesverwaltungsgericht, 2017-08-11, DE</w:t>
      </w:r>
    </w:p>
    <w:p>
      <w:r>
        <w:rPr>
          <w:b/>
        </w:rPr>
        <w:t xml:space="preserve">Quelle: </w:t>
      </w:r>
      <w:r>
        <w:t>https://mcp.opencaselaw.ch/entscheid/bvger_F-7303_2015</w:t>
      </w:r>
    </w:p>
    <w:p>
      <w:r>
        <w:t>FR: TAF F-7303/2015 du 11 août 2017</w:t>
      </w:r>
    </w:p>
    <w:p>
      <w:r>
        <w:t>IT: TAF F-7303/2015 del 11 agosto 2017</w:t>
      </w:r>
    </w:p>
    <w:p>
      <w:pPr>
        <w:pStyle w:val="Heading2"/>
      </w:pPr>
      <w:r>
        <w:t>Regeste</w:t>
      </w:r>
    </w:p>
    <w:p>
      <w:r>
        <w:t>Familienzusammenführung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In Konkretisierung dieser Bestimmung sieht Art. 74 VZAE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(Abs. 5).</w:t>
      </w:r>
    </w:p>
    <w:p>
      <w:r>
        <w:rPr>
          <w:b/>
        </w:rPr>
        <w:t>E. 4.1</w:t>
      </w:r>
    </w:p>
    <w:p>
      <w:r>
        <w:t>Die Vorbringen in der Beschwerdeschrift, in der Beschwerdeergänzung vom 14. September 2015 sowie im Schreiben vom 11. November 2016 vermögen nicht zu einer anderen Betrachtungsweise zu führen.</w:t>
      </w:r>
    </w:p>
    <w:p>
      <w:r>
        <w:rPr>
          <w:b/>
        </w:rPr>
        <w:t>E. 4.2</w:t>
      </w:r>
    </w:p>
    <w:p>
      <w:r>
        <w:t>Der Beschwerdeführer macht ausdrücklich geltend, in seinem Fall sei klar, dass die Voraussetzungen für den Familiennachzug nach Art. 85 Abs. 7 AuG nicht erfüllt seien, weshalb sich in diesem Zusammenhang eingehende Ausführungen erübrigen, dies umso eher, als der Beschwerdeführer mit seinem 1-Zimmer Studio weder über eine bedarfsgerechte Wohnung noch über ein regelmässiges Einkommen in ausreichender Höhe verfügt, welches das Überleben seiner vierköpfigen Familie ohne zusätzliche Sozialhilfe sichern könnte. Auch seitens seiner Ehefrau hat er keine Entlastung zu erwarten, zumal selbst Arbeitsfähigkeit, -willigkeit und hinreichende Deutschkenntnisse für sich allein genommen nicht genügen würden, um ein hypothetisches Einkommen der Ehefrau in die Berechnung einzubeziehen. Hierzu bedürfte es eines rechtsgültigen Arbeitsvertrages, während demgegenüber die vage Hoffnung, sie könnte zu einem späteren Zeitpunkt irgendwo einer Arbeit nachgehen, unerheblich ist. Dementsprechend erweisen sich, wie nicht nur der Beschwerdeführer, sondern auch die Vorinstanz zu Recht festgestellt hat, dessen finanzielle Mittel für die Bestreitung des Lebensunterhalts seiner vierköpfigen Familie als unzureichend. Die Verweigerung des Familiennachzugs gemäss Art. 85 Abs. 7 AuG erweist sich damit im vorliegenden Fall als rechtmässig, da zwei der kumulativen Kriterien dieser Bestimmung, wie nachstehend auszuführen ist, ohne Verletzung von Völkerrecht als nicht erfüllt zu betrachten sind.</w:t>
      </w:r>
    </w:p>
    <w:p>
      <w:r>
        <w:rPr>
          <w:b/>
        </w:rPr>
        <w:t>E. 4.3</w:t>
      </w:r>
    </w:p>
    <w:p>
      <w:r>
        <w:t>In der Beschwerde wird sinngemäss die Frage aufgeworfen, ob der Beschwerdeführer in dieser Situation aus völkerrechtlichen Bestimmungen etwas zu seinen Gunsten ableiten kann.</w:t>
      </w:r>
    </w:p>
    <w:p>
      <w:r>
        <w:rPr>
          <w:b/>
        </w:rPr>
        <w:t>E. 4.3.1</w:t>
      </w:r>
    </w:p>
    <w:p>
      <w:r>
        <w:t>Soweit der Beschwerdeführer sinngemäss geltend macht, aus seiner Flüchtlingseigenschaft ergäbe sich ein bedingungsloser Anspruch auf Familiennachzug ist Folgendes festzuhalten:</w:t>
      </w:r>
    </w:p>
    <w:p>
      <w:r>
        <w:rPr>
          <w:b/>
        </w:rPr>
        <w:t>E. 4.3.2</w:t>
      </w:r>
    </w:p>
    <w:p>
      <w:r>
        <w:t>Im Abkommen über die Rechtsstellung der Flüchtlinge vom 28. Juli 1951 (FK, SR 0.142.30) wurde der Grundsatz der "Familieneinheit" beziehungsweise das Recht des Flüchtlings auf "Wiedervereinigung mit seiner Familie" nicht als Bestandteil der Definition des Flüchtlingsbegriffs aufgenommen. Auch aus den Empfehlungen der Schlussakte der FK ergibt sich kein absolutes Recht auf Einreise und das Recht auf Familieneinheit wird nicht tangiert, wenn die Einreise von Angehörigen an gewisse Bedingungen geknüpft wird (siehe in diesem Zusammenhang Christine Amann, Die Rechte des Flüchtlings, 1. Auflage 1994, Nomos Universitätsschriften Band 128, S. 84 ff.).</w:t>
      </w:r>
    </w:p>
    <w:p>
      <w:r>
        <w:rPr>
          <w:b/>
        </w:rPr>
        <w:t>E. 5.1</w:t>
      </w:r>
    </w:p>
    <w:p>
      <w:r>
        <w:t>In der Beschwerdeergänzung vom 14. September 2016 wird die Frage aufgeworfen, ob beim Familiennachzug von vorläufig aufgenommenen Flüchtlingen anstatt Art. 85 Abs. 7 AuG nicht der für sie günstigere Art. 51 AsylG zur Anwendung gelange. Einleitend bedarf es deshalb einer Klärung des Verhältnisses zwischen dem flüchtlingsrechtlichen Familiennachzug gemäss Art. 51 Abs. 1 und 4 AsylG einerseits, dem Familiennachzug im Rahmen der vorläufigen Aufnahme nach Art. 85 Abs. 7 AuG andererseits.</w:t>
      </w:r>
    </w:p>
    <w:p>
      <w:r>
        <w:rPr>
          <w:b/>
        </w:rPr>
        <w:t>E. 5.1.1</w:t>
      </w:r>
    </w:p>
    <w:p>
      <w:r>
        <w:t>Art. 85 Abs. 7 AuG entspricht im Wortlaut seinem Vorgänger Art. 14c Abs. 3bis ANAG, welcher im Rahmen der ANAG-Revision auf den 1. Januar 2007 eingefügt wurde (zur Entstehungsgeschichte dieser beiden Normen siehe statt vieler Urteil des BVGer D-2557/2013 vom 26. November 2014 E. 5.4.2). Mithin ist diese Bestimmung jünger als jene von Art. 51 AsylG, der mit dem Asylgesetz am 1. Oktober 1999 in Kraft getreten war (AS 1999 2275). Des Weiteren ist ihr Regelungsgegenstand gegenüber Art. 51 AsylG enger, stellt der Wortlaut von Art. 85 Abs. 7 AuG im fraglichen Bereich doch auf Ehegatten und ledige Kinder unter 18 Jahren von "vorläufig aufgenommenen Flüchtlingen" ab, derweil Art. 51 AsylG die Ehegatten und minderjährigen Kinder von "Flüchtlingen" erfasst.</w:t>
      </w:r>
    </w:p>
    <w:p>
      <w:r>
        <w:rPr>
          <w:b/>
        </w:rPr>
        <w:t>E. 5.1.2</w:t>
      </w:r>
    </w:p>
    <w:p>
      <w:r>
        <w:t>Mit dem seit dem 1. Januar 2008 in Kraft stehenden Art. 85 Abs. 7 AuG schaffte der Gesetzgeber eine bundesgesetzliche Norm, mit welcher vorläufig aufgenommene Personen und vorläufig aufgenommene Flüchtlinge beim Familiennachzug einem neuen, strengeren Nachzugsregime unterstellt wurden. Vor dessen Inkraftsetzung konnten aufgrund der Rechtsprechung der ehemaligen Schweizerischen Asylrekurskommission (ARK) unter Art. 51 AsylG auch Angehörige von in der Schweiz vorläufig aufgenommenen Flüchtlingen in deren Flüchtlingseigenschaft sowie vorläufige Aufnahme einbezogen werden (vgl. Entscheidungen und Mitteilungen der Schweizerischen Asylrekurskommission [EMARK] 2006 Nr. 7 E. 7.4). Mit der Einführung des im Wortlaut klaren und spezifisch auf vorläufig Aufgenommene zugeschnittenen Art. 85 Abs. 7 AuG hat diese Bestimmung gegenüber Art. 51 AsylG Vorrang und findet auf alle Gesuche vorläufig Aufgenommener um Nachzug ihrer Angehörigen uneingeschränkt Anwendung. Art. 51 AsylG ist insoweit nicht (mehr) einschlägig (vgl. dazu auch Urteil des BVGer D-8553/2010 vom 20. Februar 2013 E. 4). Demnach ist davon auszugehen, dass Art. 85 Abs. 7 AuG sowohl als lex specialis als auch als lex posterior dem Art. 51 AsylG grundsätzlich vorgeht. Der Einbezug der sich im Heimatland bzw. in Drittstaaten aufhaltenden Kinder in die vorläufige Aufnahme der Beschwerdeführerin ist somit einzig unter Art. 85 Abs. 7 AuG einer Würdigung zu unterziehen.</w:t>
      </w:r>
    </w:p>
    <w:p>
      <w:r>
        <w:rPr>
          <w:b/>
        </w:rPr>
        <w:t>E. 5.2.1</w:t>
      </w:r>
    </w:p>
    <w:p>
      <w:r>
        <w:t>Der Beschwerdeführer macht weiter sinngemäss geltend, eine strikte Anwendung, der Kriterien nach Art. 85 Abs. 7 AuG, wie das SEM dies in seinem Fall mit dem Kriterium der Sozialhilfeabhängigkeit (Bst. c der genannten Bestimmung) tue, sei mit Art. 8 EMRK nicht vereinbar.</w:t>
      </w:r>
    </w:p>
    <w:p>
      <w:r>
        <w:rPr>
          <w:b/>
        </w:rPr>
        <w:t>E. 5.2.2</w:t>
      </w:r>
    </w:p>
    <w:p>
      <w:r>
        <w:t>Aufgrund einer historischen, grammatikalischen und systematischen Auslegung ist bei der Beurteilung der Voraussetzungen von Art. 85 Abs. 7 Bst. a bis c AuG die Rechtsprechung des Bundesgerichts und des Bundesverwaltungsgerichts im Anwendungsbereich von Art. 44 AuG analog zu übernehmen (vgl. Urteile des BGer 2C_1045/2014 vom 26. Juni 2015 E. 1.1.1 und 2C_639/2012 vom 13. Februar 2013 E. 1.2.1; Urteil des BVGer E-7073/2013 vom 6. Oktober 2015 E. 4.2; Ruedi Illes, in: Caroni/ Gächter/Thurnherr [Hrsg.], Stämpflis Handkommentar zum Bundesgesetz über die Ausländerinnen und Ausländer [nachfolgend: SHK AuG], 2010, Art. 85 N. 24). Das Zulassungskriterium des Vorhandenseins hinreichender finanzieller Mittel und damit der Entlastung der Sozialhilfe und der öffentlichen Finanzen als Voraussetzung des Familiennachzugs ist konventionsrechtlich anerkannt (vgl. das zur Publikation vorgesehene Grundsatzurteil F-2043/2015 vom 26. Juli 2017 E. 4, BGE 139 I 330 E. 3.2. m.w.H. zur Rechtsprechung des EGMR). Die materiell-rechtlichen Voraussetzungen von Art. 85 Abs. 7 Bst. a bis c AuG sind damit einer völkerrechtskonformen Auslegung grundsätzlich zugänglich (vgl. zur Frage der Völkerrechtskonformität der vorliegend nicht streitigen dreijährigen Wartefrist das Urteil des BGer 2C_639/2012 vom 13. Februar 2013 E. 4.5.2). Die Bewilligung im Falle des Vorliegens der Voraussetzungen für einen Familiennachzug liegt mithin im pflichtgemäss auszuübenden Ermessen der Behörden. Ein Anspruch auf Erteilung besteht grundsätzlich nicht (vgl. BGE 139 I 330 E. 2 m.w.H. sowie vorn E. 1.5).</w:t>
      </w:r>
    </w:p>
    <w:p>
      <w:r>
        <w:rPr>
          <w:b/>
        </w:rPr>
        <w:t>E. 5.2.3</w:t>
      </w:r>
    </w:p>
    <w:p>
      <w:r>
        <w:t>Sozialhilfeunabhängigkeit wird in der Praxis grundsätzlich dann angenommen, wenn die Eigenmittel das Niveau erreichen, ab dem gemäss Richtlinie der Schweizerischen Konferenz für Sozialhilfe (SKOS) kein Sozialhilfeanspruch resultiert (Urteil des BVGer E-2371/2015 vom 3. November 2015 E. 5.1 m.w.H.; vgl. auch das Urteil des BGer 2C_674/2013 vom 23. Januar 2014 E. 4.4). Bei der Beurteilung der Sozialhilfeabhängigkeit nach Art. 85 Abs. 7 AuG sind die statusspezifischen Umstände von Flüchtlingen mit zu berücksichtigen (Art. 74 Abs. 5 VZAE; vgl. BGE 139 I 330 E. 3.1 f. und Urteil des BGer 2C_674/2013 vom 23. Januar 2014 E. 3.1, je m.w.H. zum Abkommen vom 28. Juli 1951 über die Rechtsstellung der Flüchtlinge [FK, SR 0.142.30], insb. mit Verweis auf Art. 23 FK, wonach Flüchtlingen ohne ausländerrechtliche Folgen "die gleiche Fürsorge und öffentliche Unterstützung wie den Einheimischen" geschuldet ist). Im Hinblick auf das öffentliche Interesse kann es sich rechtfertigen, den Familiennachzug eines (vorläufig aufgenommenen) Flüchtlings zu verweigern, wenn damit die Gefahr einer fortgesetzten und erheblichen Fürsorgeabhängigkeit einhergeht (vgl. BGE 139 I 330 E. 3.2 und 4.1 m.w.H.).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(vgl. BGE 139 I 330 E. 4.1 m.H. sowie Urteil des BGer 2C_674/2013 vom 23. Januar 2014, E. 4.1 ff. [insb. E. 4.3 m.H. zur Rechtsprechung des EGMR]). Unternimmt der anerkannte Flüchtling alles ihm Zumutbare, um auf dem Arbeitsmarkt seinen eigenen und den Unterhalt der Familie möglichst autonom bestreiten zu können, und hat er auf dem Arbeitsmarkt wenigstens bereits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AuG zu erfüllen, sich der Fehlbetrag in vertretbarer Höhe hält und in absehbarer Zeit vermutlich ausgeglichen werden kann (vgl. zum Ganzen BGE 139 I 330 E. 4 m.w.H.; vgl. auch die Urteile des BGer 2C_674/2013 vom 23. Januar 2014 E. 4 und 2C_320/2013 vom 11. Dezember 2013 E. 4, je m.w.H. zur Rechtsprechung des EGMR).</w:t>
      </w:r>
    </w:p>
    <w:p>
      <w:r>
        <w:rPr>
          <w:b/>
        </w:rPr>
        <w:t>E. 5.2.4</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Urteile des BGer 2C_360/2016 vom 31. Januar 2017 E. 5.2 m.H.; vgl. zur Rechtsprechung des EGMR die Urteile Jeunesse gegen Niederlande vom 3. Oktober 2014 [Nr. 12738/10] § 103 ff. m.w.H., Agraw gegen Schweiz vom 29. Juli 2010 [Nr. 3295/06] § 44 ff. und Mengesha Kimfe gegen Schweiz vom 29. Juli 2010 [Nr. 24404/05] § 61 ff.).</w:t>
      </w:r>
    </w:p>
    <w:p>
      <w:r>
        <w:rPr>
          <w:b/>
        </w:rPr>
        <w:t>E. 5.2.5</w:t>
      </w:r>
    </w:p>
    <w:p>
      <w:r>
        <w:t>Aufgrund seiner Anerkennung als (vorläufig aufgenommener) Flüchtling sowie angesichts der Tatsache, dass eine Aufhebung seines rechtlichen Status in absehbarer Zukunft nicht anzunehmen ist, kann im Fall des Beschwerdeführers ein faktisches Aufenthaltsrecht (vgl. dazu das zur Publikation vorgesehene Grundsatzurteil F-2043/2015 vom 26. Juli 2017 E. 6.3) angenommen werden.</w:t>
      </w:r>
    </w:p>
    <w:p>
      <w:r>
        <w:rPr>
          <w:b/>
        </w:rPr>
        <w:t>E. 5.2.6</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6.1</w:t>
      </w:r>
    </w:p>
    <w:p>
      <w:r>
        <w:t>Der Beschwerdeführer reiste am 18. Dezember 2007 in die Schweiz ein, und das BFM verfügte am 20. Mai 2009 im Hinblick auf das Vorliegen subjektiver Nachfluchtgründe dessen vorläufige Aufnahme in der Schweiz. Sein Asylgesuch indessen wurde im Hinblick auf zahlreiche wesentliche widersprüchliche, ungereimte, unsubstanziierte, oberflächliche und wirklichkeitsfremde Vorbringen abgewiesen. Diese Verfügung erwuchs unangefochten in Rechtskraft, weshalb vorliegend eine Regelung des Familiennachzugs nach Art. 51 AsylG (SR 142.31) ausser Betracht fällt und keine Diskriminierung des Beschwerdeführers vorliegt, wenn sein Gesuch nach den für ihn massgebenden Rechtsgrundlagen beurteilt wird. Wie bereits erwähnt, befindet sich der Beschwerdeführer, der sich, wie sich aufgrund unglaubhafter Verfolgungsvorbringen ergibt, freiwillig von Ehefrau und Kindern getrennt haben muss, seit der Verfügung vom 18. Dezember 2007 als vorläufig aufgenommener Flüchtling in der Schweiz, also etwa seit acht Jahren. Da vorliegend nicht von einer Aufhebung seines rechtlichen Status in absehbarer Zukunft auszugehen ist, kann sich der Beschwerdeführer auf ein faktisches Aufenthaltsrecht berufen (vgl. E. 5.2.5). In der Folge ist die Dauer des Aufenthalts erst im Rahmen der Güterabwägung zu berücksichtigen. Dabei geht es nicht um die Vorwegnahme eines Anspruchs auf Familiennachzug, sondern lediglich um die Prüfung, ob dem Familienleben des Flüchtlings bei der Beurteilung der Anspruchsvoraussetzungen in zureichender Weise Rechnung getragen wurde (vgl. Urteil des BGer 2C_674/2013 vom 23. Januar 2014 E. 4.3 mit Verweis auf das Urteil 2C_320/2013 vom 11. Dezember 2013 E. 3.3.3). Die weiteren einzelfallspezifischen Umstände - insbesondere die Inkaufnahme der Trennung der Familie, allfällige Kontaktmöglichkeiten in einem Drittstaat sowie die Beurteilung des weiteren Verbleibs in der Schweiz angesichts der Situation im Heimatland - sind ebenfalls in die Interessenabwägung nach Art. 8 Ziff. 2 EMRK miteinzubeziehen. Die Dauer der Anwesenheit für sich alleine spricht nach dem Gesagten noch nicht für eine entscheidende Bindung des Beschwerdeführers zum Aufenthaltsstaat. Gemessen an seiner Aufenthaltsdauer ist er den Akten zufolge beruflich nicht überdurchschnittlich in der Schweiz integriert, sondern arbeitet erst seit Oktober 2016 als Teilzeitangestellter im Stundenlohn. Zudem macht er selber keine konkreten vertieften sozialen Beziehungen im ausserfamiliären Bereich geltend, weshalb davon auszugehen ist, dass derlei Beziehungen nicht bestehen. Seitens der Ehefrau ist davon auszugehen, dass diese - abgesehen von der Beziehung zu ihrem Ehemann - noch über keinerlei Bindung zur Schweiz verfügt. Hinzu kommt, dass sie sich angeblich (erst) seit Mai 2014 in Äthiopien in einem Flüchtlingscamp aufhält. Dementsprechend könnte der Beschwerdeführer das Familienleben alternativ in Äthiopien aufnehmen, unabhängig davon, ob er sich bereits vorher dort aufgehalten hat oder nicht. De facto gibt es einen effektiven Schutz vor Rückschiebung nach Eritrea. Seine in Äthiopien lebenden Familienangehörigen dokumentieren - bei Wahrunterstellung seiner Vorbringen - diesen Umstand durch ihren bereits mehr als dreijährigen Aufenthalt in Äthiopien zur Genüge. Im Übrigen verletzt der nicht gewährte Familiennachzug weder Art. 2 noch Art. 9 oder Art. 10 KRK. Ein gerichtlich durchsetzbarer Anspruch auf Familienzusammenführung lässt sich aus den eingangs genannten Bestimmungen nicht ableiten (vgl. BGE 140 I 145 E. 3.2, BGE 139 I 315 E. 2.4 oder BGE 126 II 377 E. 5d). Im Übrigen hat die Schweiz gerade im Hinblick auf die Gesetzgebung über die Familienzusammenführung einen Vorbehalt zu Art. 10 Abs. 1 KRK angebracht (siehe dazu BGE 124 II 361 E. 3b m.H.). Ebenfalls keine direkten Rechtsansprüche vermitteln Art. 11 BV (so explizit BGE 126 II 377 E. 5d) und Art. 19 BV.</w:t>
      </w:r>
    </w:p>
    <w:p>
      <w:r>
        <w:rPr>
          <w:b/>
        </w:rPr>
        <w:t>E. 6.2</w:t>
      </w:r>
    </w:p>
    <w:p>
      <w:r>
        <w:t>Eine Gesamtwürdigung führt auf der einen Seite zu einem gewichtigen öffentlichen Interesse, vorab wirtschaftlicher Natur, an einer Verweigerung des Familiennachzugs, zumal ohne Weiteres davon auszugehen ist, dass der öffentlichen Hand durch eine Bewilligung des Familiennachzugs Kosten entstehen würden und die Gefahr einer erheblichen Fürsorgeabhängigkeit bestünde (vgl. BGE 139 I 330 E. 4.1 f.). Auf der anderen Seite lässt eine Gesamtschau der privaten Interessen keine Gründe erkennen, die dieses erhebliche öffentliche Interesse aufzuwiegen vermöchten, zumal nicht ersichtlich ist, inwiefern es dem Beschwerdeführer und seiner Ehefrau auf unabsehbare Zeit verunmöglicht wäre, ihre Familieneinheit in Äthiopien zu leben.</w:t>
      </w:r>
    </w:p>
    <w:p>
      <w:r>
        <w:rPr>
          <w:b/>
        </w:rPr>
        <w:t>E. 7</w:t>
      </w:r>
    </w:p>
    <w:p>
      <w:r>
        <w:t>Nach dem Gesagten erweist sich die Verweigerung des Familiennachzugs gestützt auf Art. 85 Abs. 7 AuG vorliegend als rechtmässig. Es gelingt dem Beschwerdeführer nicht darzutun, inwiefern die vorinstanzliche Verfügung Bundesrecht verletzt, den rechtserheblichen Sachverhalt unrichtig oder unvollständig feststellt oder unangemessen ist (Art. 49 VwVG). Die Beschwerde ist folglich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 Dezember 2015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