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F-7280/2024 vom 31. März 2025</w:t>
      </w:r>
    </w:p>
    <w:p>
      <w:r>
        <w:t>Bundesverwaltungsgericht, 2025-03-31, DE</w:t>
      </w:r>
    </w:p>
    <w:p>
      <w:r>
        <w:rPr>
          <w:b/>
        </w:rPr>
        <w:t xml:space="preserve">Quelle: </w:t>
      </w:r>
      <w:r>
        <w:t>https://mcp.opencaselaw.ch/entscheid/bvger_F-7280_2024</w:t>
      </w:r>
    </w:p>
    <w:p>
      <w:r>
        <w:t>FR: TAF F-7280/2024 du 31 mars 2025</w:t>
      </w:r>
    </w:p>
    <w:p>
      <w:r>
        <w:t>IT: TAF F-7280/2024 del 31 marzo 2025</w:t>
      </w:r>
    </w:p>
    <w:p>
      <w:pPr>
        <w:pStyle w:val="Heading2"/>
      </w:pPr>
      <w:r>
        <w:t>Regeste</w:t>
      </w:r>
    </w:p>
    <w:p>
      <w:r>
        <w:t>Einreiseverbot</w:t>
      </w:r>
    </w:p>
    <w:p>
      <w:pPr>
        <w:pStyle w:val="Heading2"/>
      </w:pPr>
      <w:r>
        <w:t>Erwägungen</w:t>
      </w:r>
    </w:p>
    <w:p>
      <w:r>
        <w:rPr>
          <w:b/>
        </w:rPr>
        <w:t>E. 1.1</w:t>
      </w:r>
    </w:p>
    <w:p>
      <w:r>
        <w:t>Verfügungen des SEM, die ein Einreiseverbot nach Art. 67 AIG zum Gegenstand haben, unterliegen der Beschwerde an das Bundesverwal- 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w:t>
      </w:r>
    </w:p>
    <w:p>
      <w:r>
        <w:t>F-7280/2024 Seite 4</w:t>
      </w:r>
    </w:p>
    <w:p>
      <w:r>
        <w:rPr>
          <w:b/>
        </w:rPr>
        <w:t>E. 2.3</w:t>
      </w:r>
    </w:p>
    <w:p>
      <w:r>
        <w:t>Massgebend ist grundsätzlich die Sachlage zum Zeitpunkt des Ent- scheids (BGE 139 II 534 E. 5.4.1; BVGE 2020 VII/4 E. 2.2).</w:t>
      </w:r>
    </w:p>
    <w:p>
      <w:r>
        <w:rPr>
          <w:b/>
        </w:rPr>
        <w:t>E. 3.1</w:t>
      </w:r>
    </w:p>
    <w:p>
      <w:r>
        <w:t>Nach Art. 67 Abs. 1 Bst. c AIG verfügt das SEM unter Vorbehalt von Art. 67 Abs. 5 AIG ein Einreiseverbot gegenüber weggewiesenen auslän- dischen Personen, die gegen die öffentliche Sicherheit und Ordnung in der Schweiz oder im Ausland verstossen haben oder diese gefährden. Ein Verstoss gegen die öffentliche Sicherheit und Ordnung liegt insbesondere bei einer Missachtung von gesetzlichen Vorschriften oder behördlichen Verfügungen vor (Art. 77a Abs. 1 Bst. a der Verordnung vom 24. Oktober 2007 über Zulassung, Aufenthalt und Erwerbstätigkeit [VZAE, SR 142.201]). Widerhandlungen gegen Normen des Ausländerrechts fal- len ohne weiteres unter diese Begriffsbestimmung.</w:t>
      </w:r>
    </w:p>
    <w:p>
      <w:r>
        <w:rPr>
          <w:b/>
        </w:rPr>
        <w:t>E. 3.2</w:t>
      </w:r>
    </w:p>
    <w:p>
      <w:r>
        <w:t>Das Einreiseverbot wird grundsätzlich für eine Dauer von höchstens fünf Jahren verfügt (Art. 67 Abs. 3 erster Satz AIG). Es kann für eine län- gere Dauer verfügt werden, wenn die betroffene Person eine schwerwie- gende Gefahr für die öffentliche Sicherheit und Ordnung darstellt (Art. 67 Abs. 3 zweiter Satz AIG). Die verfügende Behörde kann ausnahmsweise aus humanitären oder anderen wichtigen Gründen von der Verhängung ei- nes Einreiseverbots absehen oder ein Einreiseverbot endgültig oder vorübergehend aufheben (Art. 67 Abs. 5 erster Satz AIG).</w:t>
      </w:r>
    </w:p>
    <w:p>
      <w:r>
        <w:rPr>
          <w:b/>
        </w:rPr>
        <w:t>E. 3.3</w:t>
      </w:r>
    </w:p>
    <w:p>
      <w:r>
        <w:t>Ausländische Personen, die in der Schweiz eine Erwerbstätigkeit aus- üben wollen, benötigen unabhängig von der Aufenthaltsdauer eine Bewilli- gung (Art. 11 Abs. 1 AIG). Der ausländerrechtliche Begriff der Erwerbstä- tigkeit ist weit gefasst (vgl. statt vieler: Urteil des BVGer F-1827/2018 vom 30. September 2019 E. 6.3.4; MARC SPESCHA in: Kommentar Migrations- recht, 5. Aufl. 2019, Art. 11 AIG N. 2). Als Erwerbstätigkeit im Sinne des Gesetzes gilt jede üblicherweise gegen Entgelt ausgeübte unselbststän- dige oder selbstständige Tätigkeit, selbst wenn sie unentgeltlich erfolgt (Art. 11 Abs. 2 AIG). Eine Tätigkeit gilt dann als üblicherweise gegen Ent- gelt verrichtet, wenn sie ihrer Art und ihrem Umfang nach auf dem schwei- zerischen Arbeits- und Dienstleistungsmarkt angeboten wird (vgl. statt vie- ler Urteil des BVGer F-3451/2018 vom 22. Januar 2020 E. 5.1). Ohne Be- lang für die Qualifikation als Erwerbstätigkeit ist dabei, ob die Beschäfti- gung nur stunden- oder tageweise oder vorübergehend ausgeübt wird (vgl. Art. 1a Abs. 1 VZAE).</w:t>
      </w:r>
    </w:p>
    <w:p>
      <w:r>
        <w:t>F-7280/2024 Seite 5</w:t>
      </w:r>
    </w:p>
    <w:p>
      <w:r>
        <w:rPr>
          <w:b/>
        </w:rPr>
        <w:t>E. 4.1</w:t>
      </w:r>
    </w:p>
    <w:p>
      <w:r>
        <w:t>Die Vorinstanz begründet die angefochtene Verfügung damit, die Be- schwerdeführerin sei gemäss den kantonalen Akten in der Schweiz er- werbstätig gewesen, ohne im Besitze der erforderlichen ausländerrechtli- chen Bewilligung gewesen zu sein.</w:t>
      </w:r>
    </w:p>
    <w:p>
      <w:r>
        <w:rPr>
          <w:b/>
        </w:rPr>
        <w:t>E. 4.2</w:t>
      </w:r>
    </w:p>
    <w:p>
      <w:r>
        <w:t>Die Beschwerdeführerin bringt dagegen vor, die Wegweisung, auf der das Einreiseverbot gründe, sei unzulässig gewesen. Sie hätte als Inhaberin eines gültigen portugiesischen Aufenthaltstitels im Sinne von Art. 64 Abs. 2 AIG formlos dazu aufgefordert werden müssen, sich unverzüglich nach Portugal zu begeben. Stattdessen sei gegen sie eine ordentliche Wegwei- sungsverfügung gemäss Art. 64 Abs. 1 AIG erlassen worden. Da eine (or- dentliche) Wegweisung damit nicht zulässig gewesen sei, habe auch kein Einreiseverbot verhängt werden dürfen, da Art. 67 Abs. 1 AIG nur von weg- gewiesenen Ausländern spreche.</w:t>
      </w:r>
    </w:p>
    <w:p>
      <w:r>
        <w:rPr>
          <w:b/>
        </w:rPr>
        <w:t>E. 5.1</w:t>
      </w:r>
    </w:p>
    <w:p>
      <w:r>
        <w:t>Die Beschwerdeführerin verfügt seit der Einreichung eines Gesuchs um Legalisierung ihres Aufenthalts in Portugal über ein prozessuales Auf- enthaltsrecht (vgl. Beilage 3 der Beschwerdeschrift). Sie erbrachte nach ihrer Einreise in die Schweiz (27. August 2024) am 12. September 2024 und am 18. Oktober 2024 sexuelle Dienstleistungen, wobei sie ihre Dienste vorhin über eine Internetplattform angeboten hatte. Die Beschwerdeführe- rin verdiente dabei insgesamt Fr. 500.–.</w:t>
      </w:r>
    </w:p>
    <w:p>
      <w:r>
        <w:rPr>
          <w:b/>
        </w:rPr>
        <w:t>E. 5.2</w:t>
      </w:r>
    </w:p>
    <w:p>
      <w:r>
        <w:t>Die Beschwerdeführerin war mit ihrer Tätigkeit als Escort-Dame klarer- weise erwerbstätig und hätte daher über eine ausländerrechtliche Bewilli- gung verfügen müssen. Dies wird von der Beschwerdeführerin denn auch nicht bestritten.</w:t>
      </w:r>
    </w:p>
    <w:p>
      <w:r>
        <w:rPr>
          <w:b/>
        </w:rPr>
        <w:t>E. 5.3</w:t>
      </w:r>
    </w:p>
    <w:p>
      <w:r>
        <w:t>Zum Einwand, ein Einreiseverbot könne nur gegen weggewiesene Ausländer verhängt werden, ist festzuhalten, dass gemäss der Rechtspre- chung des Bundesverwaltungsgerichts entgegen dem Wortlaut von Art. 67 Abs. 1 AIG die Wegweisung keine Voraussetzung für die Verfügung eines Einreiseverbot darstellt, da es sich bei der Aufnahme des Kriteriums der Wegweisung über alle Fernhaltegründe hinweg um ein gesetzgeberisches Versehen handelt. Für den Fernhaltegrund von Art. 67 Abs. 1 Bst. c AIG ist einzig entscheidend, ob gegen die öffentliche Sicherheit und Ordnung in der Schweiz oder im Ausland verstossen wurde oder diese gefährdet wird (vgl. Urteil des BVGer F-594/2023 vom 29. Januar 2024 E. 7, zur Pub- likation vorgesehen). Damit erübrigt es sich zu prüfen, ob die ordentliche</w:t>
      </w:r>
    </w:p>
    <w:p>
      <w:r>
        <w:t>F-7280/2024 Seite 6 Wegweisung der Beschwerdeführerin durch das Migrationsamt nach Art. 64 Abs. 1 AIG rechtmässig gewesen war oder die Beschwerdeführerin zuerst nach Art. 64 Abs. 2 AIG formlos hätte aufgefordert werden müssen, sich unverzüglich nach Portugal zu begeben.</w:t>
      </w:r>
    </w:p>
    <w:p>
      <w:r>
        <w:rPr>
          <w:b/>
        </w:rPr>
        <w:t>E. 5.4</w:t>
      </w:r>
    </w:p>
    <w:p>
      <w:r>
        <w:t>Weiter berechtigte ihr prozessuales portugiesisches Aufenthaltsrecht nicht zur visumsfreien Einreise gestützt auf Art. 8 Abs. 2 Bst. a der Verord- nung vom 15. August 2018 über die Einreise und die Visumerteilung (VEV, SR 142.204), wonach Inhaber eines gültigen Aufenthaltstitels, der von ei- nem Schengen-Staat ausgestellt wurde, von der Visumspflicht für kurzfris- tige Aufenthalte befreit sind (vgl. Art. 6 Abs. 1 Bst. b i.V.m. mit Art. 2 Ziff. 16 Bst. b/i der Verordnung [EU] 2016/399 des Europäischen Parlaments und des Rates vom 9. März 2016 über einen Gemeinschaftskodex für das Überschreiten der Grenzen durch Personen [Schengener Grenzkodex, ABl. L 77/1 vom 23.06.2016]: Vorläufige Aufenthaltstitel, die für die Dauer der Prüfung eines Erstantrags auf Erteilung eines Aufenthaltstitels ausge- stellt worden sind, gelten im Schengener-Grenzkodex nicht als Aufent- haltstitel).</w:t>
      </w:r>
    </w:p>
    <w:p>
      <w:r>
        <w:rPr>
          <w:b/>
        </w:rPr>
        <w:t>E. 5.5</w:t>
      </w:r>
    </w:p>
    <w:p>
      <w:r>
        <w:t>Zusammenfassend hat die Beschwerdeführerin aufgrund ihrer unbe- willigten Erwerbstätigkeit und darüber hinaus auch aufgrund ihrer unrecht- mässigen Einreise in die Schweiz und ihres nachfolgenden unrechtmässi- gen Aufenthalts ausländerrechtliche Bestimmungen verletzt, womit der Fernhaltegrund von Art. 67 Abs. 1 Bst. c AIG gegeben ist.</w:t>
      </w:r>
    </w:p>
    <w:p>
      <w:r>
        <w:rPr>
          <w:b/>
        </w:rPr>
        <w:t>E. 6.1</w:t>
      </w:r>
    </w:p>
    <w:p>
      <w:r>
        <w:t>Der Bestand und die Dauer des Einreiseverbots sind in jedem Fall unter dem Blickwinkel der Verhältnismässigkeit staatlichen Handelns zu überprü- fen. Eine Prognose, für welchen Zeitraum die Sicherungsmassnahme not- wendig sein wird, ist naturgemäss nicht möglich. Abstufungen betreffend die Dauer ergeben sich aus der wertenden Abwägung zwischen dem öf- fentlichen Interesse an der Fernhaltung und den privaten Interessen, wel- che die betroffene Person an der zeitlichen Beschränkung der Massnahme hat (BVGE 2016/33 E. 9.2; 2014/20 E. 8.1). Ausgangspunkt der Überle- gungen bilden die Stellung der verletzten oder gefährdeten Rechtsgüter, die Besonderheiten des ordnungswidrigen Verhaltens und die persönlichen Verhältnisse der betroffenen ausländischen Person.</w:t>
      </w:r>
    </w:p>
    <w:p>
      <w:r>
        <w:rPr>
          <w:b/>
        </w:rPr>
        <w:t>E. 6.2</w:t>
      </w:r>
    </w:p>
    <w:p>
      <w:r>
        <w:t>Das generalpräventiv motivierte Interesse daran, die ausländerrechtli- che Ordnung durch eine konsequente Massnahmenpraxis zu schützen, ist als gewichtig einzustufen. Dazu kommt die spezialpräventive Zielsetzung</w:t>
      </w:r>
    </w:p>
    <w:p>
      <w:r>
        <w:t>F-7280/2024 Seite 7 der Massnahme, den Betroffenen zu ermahnen, ausländerrechtliche Be- stimmungen zukünftig einzuhalten und so einer weiteren Störung der öf- fentlichen Sicherheit und Ordnung entgegenzuwirken (vgl. Urteil des BVGer F-1827/2018 vom 30. September 2019 E. 7.1).</w:t>
      </w:r>
    </w:p>
    <w:p>
      <w:r>
        <w:rPr>
          <w:b/>
        </w:rPr>
        <w:t>E. 6.3</w:t>
      </w:r>
    </w:p>
    <w:p>
      <w:r>
        <w:t>Mit Replik vom 6. März 2025 führt die Beschwerdeführerin aus, sie sei seit dem 12. Dezember 2024 mit einem Schweizer Staatsangehörigen ver- lobt und am 4. März 2025 sei ein Gesuch um Einreisebewilligung beim Migrationsamt des Kantons Zürich eingereicht worden, damit in der Schweiz das Ehevorbereitungsverfahren und anschliessend die Trauung vollzogen werden könne. Aufgrund dieser familiären Bindung erscheine das dreijährige Einreiseverbot als unverhältnismässig. Dem ist entgegen- zuhalten, dass das Einreiseverbot, sollte die Beschwerdeführerin eine Auf- enthaltsbewilligung erhalten, aufgehoben würde. Die geplante Heirat ist folglich für die Prüfung der Verhältnismässigkeit der Dauer des Einreise- verbots unbeachtlich.</w:t>
      </w:r>
    </w:p>
    <w:p>
      <w:r>
        <w:rPr>
          <w:b/>
        </w:rPr>
        <w:t>E. 6.4</w:t>
      </w:r>
    </w:p>
    <w:p>
      <w:r>
        <w:t>Die Beschwerdeführerin ist am 27. August 2024 unrechtmässig in die Schweiz eingereist und hielt sich in der Folge während über eineinhalb Mo- naten unrechtmässig hier auf. Dabei war sie bis zu ihrer Festnahme zwei- mal erwerbstätig, wobei sie insgesamt Fr. 500.– erwirtschaftet hat. Die aus- länderrechtlichen Verstösse der Beschwerdeführerin wiegen objektiv nicht leicht.</w:t>
      </w:r>
    </w:p>
    <w:p>
      <w:r>
        <w:rPr>
          <w:b/>
        </w:rPr>
        <w:t>E. 6.5</w:t>
      </w:r>
    </w:p>
    <w:p>
      <w:r>
        <w:t>Im Kontext der vorangehenden Ausführungen vermag das private Inte- resse der Beschwerdeführerin an der ungehinderten Einreise das öffentli- che Interesse an ihrer Fernhaltung für die Dauer von drei Jahren auch unter Berücksichtigung ihres in der Schweiz ansässigen Verlobten nicht ent- scheidend zurückzudrängen. Eine wertende Gewichtung der sich gegen- überstehenden Interessen führt unter Berücksichtigung der Praxis in ähn- lich gelagerten Fällen (vgl. unter anderem Urteile des BVGer F-6366/2023 vom 2. September 2024; F-2761/2019 vom 14. September 2020) zum Er- gebnis, dass das Einreiseverbot von einer Dauer von drei Jahren auf einem gerechten Ausgleich der sich widerstreitenden Interessen beruht und eine verhältnismässige und angemessene Massnahme zum Schutz der öffent- lichen Sicherheit und Ordnung darstellt.</w:t>
      </w:r>
    </w:p>
    <w:p>
      <w:r>
        <w:rPr>
          <w:b/>
        </w:rPr>
        <w:t>E. 7.1</w:t>
      </w:r>
    </w:p>
    <w:p>
      <w:r>
        <w:t>Zu prüfen bleibt die Rechtmässigkeit der von der Vorinstanz angeord- neten und von der Beschwerdeführerin beanstandeten Ausschreibung des Einreiseverbots im SIS. Die Beschwerdeführerin bringt hierzu vor, da sie in</w:t>
      </w:r>
    </w:p>
    <w:p>
      <w:r>
        <w:t>F-7280/2024 Seite 8 Portugal erwerbsberechtigt sei und dort bald über eine Aufenthaltsbewilli- gung verfügen werde, sei die Ausschreibung zu löschen.</w:t>
      </w:r>
    </w:p>
    <w:p>
      <w:r>
        <w:rPr>
          <w:b/>
        </w:rPr>
        <w:t>E. 7.2</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der Verordnung [EU] Nr. 2018/1861 des Europäischen Par- 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07.12.2018 [SIS-VO-Grenze]). Im Sinne von Art. 24 Abs. 2 Bst. c SIS-VO- Grenze ist ein Einreiseverbot im SIS auszuschreiben, wenn ein Drittstaats- angehöriger nationale Rechtsvorschriften über die Einreise und den Auf- enthalt in Bezug auf das Hoheitsgebiet der Schengen-Mitgliedstaaten um- gangen hat oder versucht hat, diese Rechtsvorschriften zu umgehen. Dies ist vorliegend der Fall.</w:t>
      </w:r>
    </w:p>
    <w:p>
      <w:r>
        <w:rPr>
          <w:b/>
        </w:rPr>
        <w:t>E. 7.3</w:t>
      </w:r>
    </w:p>
    <w:p>
      <w:r>
        <w:t>Auch ein Konsultationsverfahren mit den portugiesischen Behörden nach Art. 28 oder Art. 29 SIS-VO-Grenze ist aufgrund des prozessualen portugiesischen Aufenthaltsrechts der Beschwerdeführerin nicht durchzu- führen. Vorläufige Aufenthaltstitel, die für die Dauer der Prüfung eines Er- stantrags auf Erteilung eines Aufenthaltstitels ausgestellt worden sind, gel- ten nicht als Aufenthaltstitel gemäss SIS-VO-Grenze (vgl. Art. 3 Ziff. 19 SIS-VO-Grenze i.V.m. Art. 2 Ziff. 16 Bst. b/i des Schengener Grenzkodex).</w:t>
      </w:r>
    </w:p>
    <w:p>
      <w:r>
        <w:rPr>
          <w:b/>
        </w:rPr>
        <w:t>E. 7.4</w:t>
      </w:r>
    </w:p>
    <w:p>
      <w:r>
        <w:t>Die Beschwerdeführerin ist im Übrigen darauf hinzuweisen, dass eine SIS-Ausschreibung des Einreiseverbots einer vorgesehenen Erteilung ei- nes portugiesischen Aufenthaltstitels grundsätzlich nicht entgegensteht (vgl. aber Art. 27 SIS-VO-Grenze, wonach vor der Erteilung eines länger- fristigen Aufenthaltstitels an einen ausgeschriebenen Drittstaatsangehöri- gen der erteilende Mitgliedsstaat den ausschreibenden Mitgliedstaat vor- gängig zu konsultieren hat, wobei der SIS-Eintrag gelöscht wird, sollte ers- terer an der Erteilung des längerfristigen Aufenthaltstitels festhalten).</w:t>
      </w:r>
    </w:p>
    <w:p>
      <w:r>
        <w:rPr>
          <w:b/>
        </w:rPr>
        <w:t>E. 7.5</w:t>
      </w:r>
    </w:p>
    <w:p>
      <w:r>
        <w:t>Die Ausschreibung des Einreiseverbots im SIS ist nach dem Gesagten nicht zu beanstanden.</w:t>
      </w:r>
    </w:p>
    <w:p>
      <w:r>
        <w:t>F-7280/2024 Seite 9</w:t>
      </w:r>
    </w:p>
    <w:p>
      <w:r>
        <w:rPr>
          <w:b/>
        </w:rPr>
        <w:t>E. 8</w:t>
      </w:r>
    </w:p>
    <w:p>
      <w:r>
        <w:t>Aus diesen Erwägungen folgt, dass die angefochtene Verfügung nicht zu beanstanden ist (vgl. Art. 49 VwVG). Die Beschwerde ist daher abzuwei- sen.</w:t>
      </w:r>
    </w:p>
    <w:p>
      <w:r>
        <w:rPr>
          <w:b/>
        </w:rPr>
        <w:t>E. 9</w:t>
      </w:r>
    </w:p>
    <w:p>
      <w:r>
        <w:t>Bei diesem Ausgang des Verfahrens sind die Kosten der Beschwerdefüh- rerin aufzuerlegen (Art. 63 Abs. 1 VwVG), auf insgesamt Fr. 1'000.– fest- zusetzen (Art. 1 ff. des Reglements vom 21. Februar 2008 über Kosten und Entschädigungen vor dem Bundesverwaltungsgericht [VGKE, SR 173.320.2]) und mit dem am 30. Dezember 2024 geleisteten Kosten- vorschuss in gleicher Höhe zu verrechnen.</w:t>
      </w:r>
    </w:p>
    <w:p>
      <w:r>
        <w:t>(Dispositiv nächste Seite)</w:t>
      </w:r>
    </w:p>
    <w:p>
      <w:r>
        <w:t>F-7280/2024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