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F-7274/2015 vom 16. August 2016</w:t>
      </w:r>
    </w:p>
    <w:p>
      <w:r>
        <w:t>Bundesverwaltungsgericht, 2016-08-16, FR</w:t>
      </w:r>
    </w:p>
    <w:p>
      <w:r>
        <w:rPr>
          <w:b/>
        </w:rPr>
        <w:t xml:space="preserve">Quelle: </w:t>
      </w:r>
      <w:r>
        <w:t>https://mcp.opencaselaw.ch/entscheid/bvger_F-7274_2015</w:t>
      </w:r>
    </w:p>
    <w:p>
      <w:r>
        <w:t>FR: TAF F-7274/2015 du 16 août 2016</w:t>
      </w:r>
    </w:p>
    <w:p>
      <w:r>
        <w:t>IT: TAF F-7274/2015 del 16 agosto 2016</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concernant un code de l'Union relatif au régime de franchissement des frontières par les personnes (code frontières Schengen) (version codifiée)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3.2</w:t>
      </w:r>
    </w:p>
    <w:p>
      <w:r>
        <w:t>Par ailleurs, en application de l'art. 7 LEtr, l'entrée en Suisse et la sortie de Suisse sont régies par les accords d'association à Schengen. 4.1 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 4.2 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4.3.1 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4.3.2 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4.3.3 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arrêt du TAF C-847/2013 du 21 mars 2014 consid. 5.3.3, avec jurispr. cit.). 4.4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Uebersax/Rudin/Hugi Yar/Geiser [éd.], Ausländerrecht, 2ème éd., Bâle 2009, ch. 8.80 p. 356).</w:t>
      </w:r>
    </w:p>
    <w:p>
      <w:r>
        <w:rPr>
          <w:b/>
        </w:rPr>
        <w:t>E. 5</w:t>
      </w:r>
    </w:p>
    <w:p>
      <w:r>
        <w:t>En l'occurrence, A._______ a recouru par acte posté le 10 novembre 2015 contre la décision prononcée par le SEM le 6 octobre 2015. Il a conclu à la levée de la mesure d'interdiction d'entrée en Suisse prononcée à son encontre ainsi qu'à l'annulation de l'inscription de cette mesure au SIS. Dans le cadre de l'échange d'écriture, et à la demande des autorités françaises compétentes, le SEM a annulé le signalement de l'intéressé au SIS le 6 avril 2016. Pour le reste, toutefois, il a considéré que l'éloignement du territoire suisse de l'intéressé pour une durée de 3 ans était parfaitement justifié. Dans la mesure où l'annulation à laquelle le SEM a procédé le 6 avril 2016 n'a pas rendu sans objet le recours, le Tribunal de céans a poursuivi l'instruction de l'affaire, conformément à l'art. 58 al. 3 PA. En considération de ce qui précède, le Tribunal doit examiner sur le fond si le prononcé du 6 octobre 2015, interdisant l'entrée en Suisse de l'intéressé pour une durée de 3 ans est justifiée au sens de la jurisprudence et de la doctrine évoquées plus haut (cf. consid. 4).</w:t>
      </w:r>
    </w:p>
    <w:p>
      <w:r>
        <w:rPr>
          <w:b/>
        </w:rPr>
        <w:t>E. 6.1</w:t>
      </w:r>
    </w:p>
    <w:p>
      <w:r>
        <w:t>Comme mentionné ci-dessus (cf. consid. 3.1), l'art. 5 al. 1 LEtr, dont le contenu coïncide avec l'art. 6, par. 1, du code frontières Schengen, stipule que pour entrer en Suisse, tout étranger doit avoir une pièce de légitimation reconnue pour le passage de la frontière et être muni d'un visa si ce dernier est requis. Par ailleurs, il ne doit pas faire l'objet d'une mesure d'éloignement. Reprenant le contenu de l'art. 6 par. 1 du code frontières Schengen, l'art. 4 al. 1 OEV stipule que les ressortissants des Etats énumérés à l'annexe I du Règlement (CE) no 539/2001 sont soumis à l'obligation de visa pour l'entrée en vue d'un séjour d'une durée n'excédant pas 90 jours. L'art. 4 al. 2 let. a OEV précise que les titulaires d'un document de voyage valable et reconnu, ainsi que d'un titre de séjour valable délivré par un Etat (Etat Schengen) lié par l'un des accords d'association à Schengen (art. 6, par.1, let. b, et art. 39, par.1, let. a, du code frontières Schengen), sont libérés de l'obligation de visa.</w:t>
      </w:r>
    </w:p>
    <w:p>
      <w:r>
        <w:rPr>
          <w:b/>
        </w:rPr>
        <w:t>E. 6.1.1</w:t>
      </w:r>
    </w:p>
    <w:p>
      <w:r>
        <w:t>En l'espèce, en tant que ressortissant kosovar, A._______ est soumis à l'obligation de visa (cf. sur cette problématique, le site internet du SEM: www.sem.admin.ch Accueil SEM Publications &amp; service Directives et circulaires VII. Visas Annexe 1, liste 1: nationalité Kosovo; version du 2 août 2016; site internet consulté en août 2016). Or, ainsi que cela ressort des pièces du dossier, A._______ a déclaré lors de son interpellation, le 30 juillet 2015, avoir pénétré sur le territoire suisse le 29 juillet 2015, à Moillesulaz, dans le but de rendre visite à une amie. Selon ses propos, il aurait eu l'intention de rester en Suisse entre 7 et 10 jours, ignorant être encore sous le coup d'une mesure d'interdiction d'entrée en Suisse. Il a par ailleurs déclaré vivre en France, avec sa femme, et être soutenu par l'Etat français. Lors de son interpellation, le 30 juillet 2015, il s'est légitimé au moyen d'une carte d'identité en cours de validité ainsi que d'un récépissé délivré par les autorités françaises compétentes constatant le dépôt d'une demande d'asile et valable jusqu'au 4 juin 2015. A._______ n'a donc pas respecté les prescriptions de l'art. 5 al. 1 LEtr. L'infraction de police des étrangers reprochée au prénommé, à savoir un séjour illégal en l'absence de visa ou d'autorisation de séjour en bonne et due forme, est ainsi clairement réalisée.</w:t>
      </w:r>
    </w:p>
    <w:p>
      <w:r>
        <w:rPr>
          <w:b/>
        </w:rPr>
        <w:t>E. 6.1.2</w:t>
      </w:r>
    </w:p>
    <w:p>
      <w:r>
        <w:t>Dans son mémoire de recours, le recourant fait valoir qu'il a épousé une ressortissante régulière sur le territoire français le 11 octobre 2014 et qu'il a sollicité un titre de séjour auprès de la préfecture de son domicile. Or, ainsi que l'a pertinemment relevé le SEM, les autorités françaises ont délivré en date du 3 septembre 2015 seulement un titre de séjour à l'intéressé. Cela étant, même si l'intéressé avait été en mesure de se prévaloir de ce document plus tôt déjà, force est de constater cependant que son épouse est également de nationalité kosovare, de sorte que l'intéressé demeurait soumis aux exigences de la LEtr, et en particulier aux conditions définies à l'art. 5 al. 1 LEtr, applicables aux ressortissants étrangers, lesquelles n'étaient en l'espèce pas réalisées au moment de son interpellation le 30 juillet 2015. Aussi, force est de constater que les faits reprochés à A._______ dans la mesure d'éloignement (infractions aux prescriptions de police des étrangers) ont été établis. Cela étant, ils portent atteinte à la sécurité et à l'ordre publics au sens de l'art. 80 al. 1 let. a OASA et à cet égard, peu importe les raisons de sa présence en Suisse. L'intéressé se devait de respecter la législation en vigueur en Suisse, ce qu'il n'a manifestement pas fait en l'état.</w:t>
      </w:r>
    </w:p>
    <w:p>
      <w:r>
        <w:rPr>
          <w:b/>
        </w:rPr>
        <w:t>E. 6.2</w:t>
      </w:r>
    </w:p>
    <w:p>
      <w:r>
        <w:t>Compte tenu de ce qui précède, force est d'admettre que l'interdiction d'entrée prononcée le 6 octobre 2015 en application de l'art. 67 LEtr est parfaitement justifiée dans son principe, A._______ ayant bien attenté à la sécurité et à l'ordre publics par son comportement. A cet égard, il sied de rappeler (cf. consid. 4.3.2 supra) qu'aux termes de l'art. 80 al. 1 let. a OASA, il y a notamment atteinte à la sécurité et à l'ordre publics en cas de violation de prescriptions légales ou de décisions d'autorités. Or, comme évoqué ci-avant, le fait d'entrer illégalement en Suisse même à des fins de court séjour sans autorisation idoine constitue bien une violation des prescriptions légales. Dans le cas d'espèce, le recourant ne saurait nier le fait qu'il a violé à plusieurs reprises les prescriptions légales puisqu'il a fait l'objet d'une première interdiction d'entrée en Suisse (cf. lettre A.b ci-dessus), qu'il n'a pas respectée (cf. lettres A.c, A.d et A.e ci-dessus [entrée illégale et travail sans autorisation]), avant de faire l'objet d'une nouvelle interdiction d'entrée en Suisse (cf. lettre B ci-dessus) pour avoir à nouveau pénétré sans autorisation sur le territoire suisse (cf. lettre C ci-dessus).</w:t>
      </w:r>
    </w:p>
    <w:p>
      <w:r>
        <w:rPr>
          <w:b/>
        </w:rPr>
        <w:t>E. 7</w:t>
      </w:r>
    </w:p>
    <w:p>
      <w:r>
        <w:t>Il convient encore d'examiner si la mesure d'éloignement prise par l'autorité intimée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arrêts du Tribunal C-1487/2013 du 19 mai 2014 consid. 6.1 et les arrêts cités).</w:t>
      </w:r>
    </w:p>
    <w:p>
      <w:r>
        <w:rPr>
          <w:b/>
        </w:rPr>
        <w:t>E. 7.2</w:t>
      </w:r>
    </w:p>
    <w:p>
      <w:r>
        <w:t>En l'espèce, il appert que le motif retenu à l'appui de la mesure d'éloignement prise à l'endroit de A._______ (entrée illégale) ne saurait être contesté. L'infraction aux prescriptions de police des étrangers ainsi perpétrée doit être qualifiée de grave au sens indiqué plus haut (cf. consid. 4.3.3).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Tribunal C-2973/2012 du 27 juin 2013 consid. 5.3.1).</w:t>
      </w:r>
    </w:p>
    <w:p>
      <w:r>
        <w:rPr>
          <w:b/>
        </w:rPr>
        <w:t>E. 7.3</w:t>
      </w:r>
    </w:p>
    <w:p>
      <w:r>
        <w:t>Dans le cadre de l'analyse du principe de proportionnalité au sens étroit, l'intérêt privé du recourant à circuler dans l'Espace Schengen est un élément qui doit être examiné. Sous cet angle, il fait valoir le fait que la mesure prononcée à son encontre par le SEM constituerait un obstacle à sa liberté de circulation ainsi qu'à sa vie de famille. Toutefois, il n'a pas davantage détaillé ses propos ni produit de moyens de preuve idoines. Or, le Tribunal constate que cette mesure ne restreint l'intéressé ni dans sa vie privée ni dans sa liberté de circulation, dès lors que, d'une part, elle ne fait pas obstacle à sa vie de couple, qui se déroule de manière prépondérante en France où son épouse et lui sont au bénéfice d'une autorisation de séjour, et que, d'autre part, l'inscription au SIS - laquelle aurait pu effectivement faire obstacle à sa liberté de circulation - a été annulée le 6 avril 2016. Aussi, s'il est vrai que l'interdiction d'entrée en Suisse demeure, force est de constater que l'intéressé n'a pas démontré que cette mesure l'entraverait dans sa vie privée de manière injustifiée. Dans ces circonstances, il n'y a pas lieu de faire prévaloir son intérêt privé à se déplacer librement en Suisse sur l'intérêt public à son éloignement de cet Etat. Au demeurant, si l'intéressé devait effectivement devoir se rendre en Suisse pour un motif sérieux, rien ne l'empêcherait de solliciter une suspension provisoire de cette mesure au sens de l'art. 67 al. 5 LEtr (cf. consid. 4.2 ci-dessus).</w:t>
      </w:r>
    </w:p>
    <w:p>
      <w:r>
        <w:rPr>
          <w:b/>
        </w:rPr>
        <w:t>E. 8</w:t>
      </w:r>
    </w:p>
    <w:p>
      <w:r>
        <w:t>Dans la décision rendue le 6 octobre 2015, le SEM a par ailleurs ordonné l'inscription de l'interdiction d'entrée dans le SIS, dès lors que A._______ est un ressortissant d'un pays tiers au sens de la législation de l'Union européenne (cf. supra consid. 3.1). Par acte du 6 avril 2016, le SEM a cependant, à la demande des autorités françaises, procédé à l'annulation de cette inscription, A._______ ayant été mis le 3 septembre 2015 au bénéfice d'une autorisation de séjour par ces mêmes autorités. En conséquence, force est de constater qu'il a été fait suite à la conclusion de l'intéressé tendant à l'annulation de l'inscription au SIS de sorte que, sur ce point, le recours est devenu sans objet (cf. consid. 5 ci-dessus).</w:t>
      </w:r>
    </w:p>
    <w:p>
      <w:r>
        <w:rPr>
          <w:b/>
        </w:rPr>
        <w:t>E. 9.1</w:t>
      </w:r>
    </w:p>
    <w:p>
      <w:r>
        <w:t>Vu ce qui précède, le Tribunal est amené à conclure que la décision querellée est conforme au droit (cf. art. 49 PA). Le recours est en conséquence rejeté, dans la mesure où il n'est pas devenu sans objet.</w:t>
      </w:r>
    </w:p>
    <w:p>
      <w:r>
        <w:rPr>
          <w:b/>
        </w:rPr>
        <w:t>E. 9.2</w:t>
      </w:r>
    </w:p>
    <w:p>
      <w:r>
        <w:t>Au vu de l'issue de la procédure, il y aurait lieu de mettre des frais réduits à la charge du recourant (art. 63 al. 1 et 2 PA en relation avec les art. 1 à 3 du règlement du Tribunal administratif fédéral du 21 février 2008 concernant les frais, dépens et indemnités fixés par le Tribunal administratif fédéral [FITAF, RS 173.320.2]). Compte tenu des circonstances du cas d'espèce, il y est toutefois renoncé à titre exceptionnel (art. 6 let. b FITAF).</w:t>
      </w:r>
    </w:p>
    <w:p>
      <w:r>
        <w:rPr>
          <w:b/>
        </w:rPr>
        <w:t>E. 9.3</w:t>
      </w:r>
    </w:p>
    <w:p>
      <w:r>
        <w:t>Par ailleurs, le recourant pourrait, en principe, prétendre à des dépens réduits. Toutefois, dès lors qu'il a agi sans représentant, les frais qu'il a eu à supporter pour le litige sont relativement peu élevés. En conséquence, le Tribunal renonce à allouer des dépens (art. 7 al. 4 FITAF).</w:t>
      </w:r>
    </w:p>
    <w:p>
      <w:r>
        <w:rPr>
          <w:b/>
        </w:rPr>
        <w:t>E. 9.4</w:t>
      </w:r>
    </w:p>
    <w:p>
      <w:r>
        <w:t>Enfin, dans la mesure où il s'avère que le Tribunal ne peut atteindre le recourant à un domicile de notification en Suisse au sens de l'art. 11b al. 1 PA (cf. lettre E ci-dessus), le présent arrêt mettant un terme à la procédure doit lui être notifié par voie de publication officielle, conformément à l'art. 36 let b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