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F-7266/2024 vom 28. November 2024</w:t>
      </w:r>
    </w:p>
    <w:p>
      <w:r>
        <w:t>Bundesverwaltungsgericht, 2024-11-28, FR</w:t>
      </w:r>
    </w:p>
    <w:p>
      <w:r>
        <w:rPr>
          <w:b/>
        </w:rPr>
        <w:t xml:space="preserve">Quelle: </w:t>
      </w:r>
      <w:r>
        <w:t>https://mcp.opencaselaw.ch/entscheid/bvger_F-7266_2024</w:t>
      </w:r>
    </w:p>
    <w:p>
      <w:r>
        <w:t>FR: TAF F-7266/2024 du 28 novembre 2024</w:t>
      </w:r>
    </w:p>
    <w:p>
      <w:r>
        <w:t>IT: TAF F-7266/2024 del 28 novembre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LTF [RS 173.110]), exception non réalisée en l'espèce. La procédure devant le Tribunal est régie par la PA, pour autant que ni la LTAF (art. 37 LTAF) ni la LAsi (art. 6 LAsi) n'en disposent autrement. Les intéressés ont qualité pour recourir (art. 48 al. 1 PA). Interjeté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3.2</w:t>
      </w:r>
    </w:p>
    <w:p>
      <w:r>
        <w:t>Aux termes de l'art. 3 par. 1 du règlement Dublin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(en anglais : take back), telle la présente procédure, dès lors qu'un Etat membre a déjà été saisi d'une demande d'asile et a admis sa responsabilité pour l'examiner, il n'appartient pas à un autre Etat membre saisi ultérieurement d'une demande d'asile de procéder à une nouvelle détermination de l'Etat membre responsable, sous réserve des situations prévues à l'art. 7 par. 3 du règlement Dublin III (en lien avec les critères de détermination visés aux art. 8, 10 et 16 du règlement Dublin III) et à l'art. 20 par. 5 du règlement Dublin III (cf. ATAF 2019 VI/7 consid. 6.4.1.3 et 2017 VI/5 consid. 6.2, 6.3, 8.2.1 et 8.3), qui ne sont pas données en l'espèce.</w:t>
      </w:r>
    </w:p>
    <w:p>
      <w:r>
        <w:rPr>
          <w:b/>
        </w:rPr>
        <w:t>E. 3.3</w:t>
      </w:r>
    </w:p>
    <w:p>
      <w:r>
        <w:t>Ainsi qu'il ressort de l'arrêt du Tribunal du 30 octobre 2024 en l'affaire F-6392/2024 concernant la première décision de non-entrée en matière prononcée par le SEM à l'endroit des intéressés (ci-après : l'arrêt précédent), et plus spécialement le consid. 4.3 de l'arrêt en question, la Bulgarie est bien l'Etat compétent pour traiter les demandes d'asile des recourants. Ces derniers ne contestent par ailleurs pas, en tant que telle, cette appréciation.</w:t>
      </w:r>
    </w:p>
    <w:p>
      <w:r>
        <w:rPr>
          <w:b/>
        </w:rPr>
        <w:t>E. 4</w:t>
      </w:r>
    </w:p>
    <w:p>
      <w:r>
        <w:t>Cela étant, comme déjà précisé dans l'arrêt précédent,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4.1</w:t>
      </w:r>
    </w:p>
    <w:p>
      <w:r>
        <w:t>La Bulgarie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est tenue d'en appliquer les dispositions. Elle est également liée par la directive n° 2013/32/UE du Parlement européen et du Conseil du 26 juin 2013 relative à des procédures communes pour l'octroi et le retrait de la protection internationale (directive Procédure, JO L 180/60 du 29.6.2013) et par la directive n° 2013/33/UE du Parlement européen et du Conseil du 26 juin 2013 établissant des normes pour l'accueil des personnes demandant la protection internationale (directive Accueil, JO L 180/96 du 29.3.2013)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La Bulgarie est ainsi présumée respecter les droits reconnus aux requérants d'asile, conformément à ses obligations juridiques (cf. Cour européenne des droits de l'homme [ci-après : CourEDH], décision K.R.S. c. Royaume-Uni du 2 décembre 2008, n° 32733/08, p. 19). Cette présomption peut toutefois être renversée s'il s'avère que cet Etat suit une pratique de violations des normes minimales de l'Union européenne ou du droit international en matière d'asile, ou présente des défaillances systémiques impliquant un risque réel pour les requérants d'une protection internationale d'être victimes de traitements prohibés, notamment par la Charte UE (cf. ATAF 2012/27 consid. 6.4 ; 2011/9 consid. 6; CourEDH, arrêt M.S.S. c. Belgique et Grèce du 21 janvier 2011, n° 30696/09, par. 341 ss). Dans un arrêt de référence, le Tribunal a jugé que le système d'asile bulgare présentait effectivement des carences à plus d'un titre. Celles-ci touchaient premièrement la procédure d'asile, notamment au niveau de la représentation juridique et des pratiques discriminatoires dénoncées vis-à-vis des ressortissants de certains pays. Deuxièmement, elles portaient sur les conditions d'accueil des requérants d'asile. Ainsi, des déficits existaient du point de vue de l'équipement et des installations, des conditions sanitaires et de la nourriture fournie dans les centres d'accueil bulgares. Des difficultés avaient également été constatées s'agissant de la prise en compte d'éventuels besoins particuliers et de l'accès aux soins. Troisièmement, les carences portaient sur les conditions de détention en lien notamment avec le prolongement illégal de la détention malgré le dépôt d'une demande d'asile. Si ces carences étaient certes préoccupantes, elles ne constituaient toutefois pas des défaillances systémiques au sens de l'art. 3 par. 2 du règlement Dublin III, justifiant qu'il soit renoncé de manière générale au transfert des requérants d'asile vers la Bulgarie (cf. arrêt de référence du TAF F-7195/2018 du 11 février 2020 consid. 6 et, en particulier, 6.6.7). Malgré l'absence de défaillances systémiques en Bulgarie, le Tribunal a cependant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 Depuis lors, cette jurisprudence a été confirmée à maintes reprises (cf. p. ex. arrêts du Tribunal F-368/2024 du 10 mai 2024 consid. 5.1 et réf. cit., F-1860/2023 du 16 janvier 2024 consid. 4.6).</w:t>
      </w:r>
    </w:p>
    <w:p>
      <w:r>
        <w:rPr>
          <w:b/>
        </w:rPr>
        <w:t>E. 4.2</w:t>
      </w:r>
    </w:p>
    <w:p>
      <w:r>
        <w:t>En l'occurrence, il y a lieu d'admettre qu'au vu de sa situation médicale, la recourante doit être considérée comme particulièrement vulnérable. C'est donc à juste titre que le SEM a sollicité certaines garanties auprès de la Bulgarie en date du 24 septembre 2024. Toutefois, ainsi qu'il ressort de l'arrêt précédent du 30 octobre 2024 en l'affaire F-6392/2024 - et ce plus spécialement de son consid. 5.2 - tant la demande de garanties formulée par le SEM le 24 septembre 2024 que la réponse apportée par les autorités bulgares, a fortiori, ne permettaient pas de considérer que des garanties individuelles suffisantes, au sens de l'arrêt de référence F-7195/2024 précité consid. 7.4.1, existaient effectivement en l'espèce. Dans ce contexte, le Tribunal avait notamment relevé que les graves lacunes constatées encore récemment dans le système de santé mentale bulgare par le Comité européen pour la prévention de la torture et des peines ou traitements inhumains ou dégradants (ci-après : le CPT) lors de sa visite ad hoc en Bulgarie de 2023 (cf. Report to the Bulgarian Government on the ad hoc visit to Bulgaria carried out by the European Committee for the Prevention of Torture and Inhuman or Degrading Treatement or Punishement [CPT], disponible en ligne sous https://rm.coe.int/1680ae4960 [site visité en novembre 2024]) devaient conduire la Suisse à obtenir, en l'occurrence, des garanties d'un standard élevé, spécifiques à la situation individuelle et concrète de le recourante. Suite au renvoi de l'affaire à l'autorité inférieure, celle-ci a requis des clarifications de la Bulgarie, en date du 5 novembre 2024. Dans ce cadre, se fondant sur les rapports médicaux au dossier, elle a précisé les atteintes dont souffrait la recourante, listé les médicaments prescrits pour son traitement et s'est enquis de savoir si l'intéressée aurait accès aux soins spécifiques nécessaires et aux médicaments mentionnés (cf. supra consid. I). Dans sa réponse du 5 novembre 2024, la Bulgarie a confirmé que l'intéressée aurait un plein accès aux soins médicaux adéquats et nécessaires, y compris les examens et suivi psychiatriques et psychothérapeutiques (« full access to approriate and needed médical care, including psychiatric and psychotherapeutic exams and follow up exams »). Dans ces circonstances, compte tenu de la spécificité de la demande individualisée formulée par le SEM et de la réponse correspondante et sans réserve des autorités bulgares, il y a lieu de constater que des garanties individuelles et concrètes suffisantes ont été données dans le cas d'espèce. Les manquements constatés par le CPT dans le système de santé mentale bulgare ainsi que les carences alléguées par les recourants à propos des conditions d'accueil des requérants repris en charge par la Bulgarie restent quant à eux non spécifiques et ne sont pas de nature à remettre en cause les engagements concrets pris par les autorités bulgares en regard de l'état de santé de la requérante.</w:t>
      </w:r>
    </w:p>
    <w:p>
      <w:r>
        <w:rPr>
          <w:b/>
        </w:rPr>
        <w:t>E. 4.3</w:t>
      </w:r>
    </w:p>
    <w:p>
      <w:r>
        <w:t>En conséquence, en l'absence d'une pratique avérée de violation systématique des normes communautaires minimales en la matière, le respect par la Bulgarie de ses obligations concernant les droits des requérants d'asile sur son territoire demeure présumé (cf. ATAF 2017 VI/5 consid. 8.4 ; 2010/45 consid. 7.4 et 7.5 ; arrêt du TAF F-7195/2018 précité consid. 6.6.7 et 6.6.8).</w:t>
      </w:r>
    </w:p>
    <w:p>
      <w:r>
        <w:rPr>
          <w:b/>
        </w:rPr>
        <w:t>E. 5</w:t>
      </w:r>
    </w:p>
    <w:p>
      <w:r>
        <w:t>En dérogation à l'art. 3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(clause de souveraineté, art. 17 par. 1 du règlement Dublin III). Selon la jurisprudence, tel est le cas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(cf. ATAF 2015/9 consid. 8).</w:t>
      </w:r>
    </w:p>
    <w:p>
      <w:r>
        <w:rPr>
          <w:b/>
        </w:rPr>
        <w:t>E. 5.1</w:t>
      </w:r>
    </w:p>
    <w:p>
      <w:r>
        <w:t>S'agissant des préoccupations à propos de l'état de santé de B._______ en regard de la protection contre les traitements inhumains et dégradants offerte par l'art. 3 CEDH, le Tribunal rappelle la jurisprudence restrictive en la matière selon laquelle le transfert de personnes touchées dans leur santé n'est susceptible de constituer une violation de cette disposition que dans des cas exceptionnels où les personnes en cause seraient exposées à un déclin grave, rapide et irréversible de leur état de santé (cf. arrêts de la CourEDH Paposhvili c. Belgique [GC] du 13 décembre 2016, requête n° 41738/10 et Savran c. Danemark [GC] du 7 décembre 2021, requête n° 57467/15 ; ATAF 2017 VI/7 consid. 6.2 ; cf. aussi entre autres arrêts du Tribunal E-5863/2022 du 23 janvier 2024 consid. 7.4.3, F-2394/2023 du 18 janvier 2024 consid. 7.4, et D-3385/2023 du 28 juillet 2023 considérant 7.3.2). En l'occurrence, le Tribunal constate que les pièces médicales pertinentes suivantes ont été versées au dossier de la cause en lien avec l'état de santé psychique de l'intéressée : - un rapport médical du 25 septembre 2024 relatif une hospitalisation non-volontaire, suite à une tentative de défenestration, du 12 au 22 août 2024 au Département de l'adulte, filière urgence, crises et liaison, du Centre neuchâtelois de psychiatrie posant notamment les diagnostics d'épisode dépressif sévère avec symptômes psychotiques et de troubles de l'adaptation ; - un rapport médical succinct du 13 septembre 2024 d'un premier entretien de suivi post-hospitalisation faisant état d'un diagnostic comprenant un trouble dépressif récurrent, épisode actuel sévère (en rémission), un état de stress post-traumatique et des difficultés liées à l'entourage immédiat (familial) ; - un rapport médical succinct du 11 novembre 2024 faisant état de plaintes de péjoration de l'état psychique sur un mode anxieux en lien avec l'exposition aux bagarres fréquentes au sein du CFA ainsi que de troubles auditifs à type hallucinations auditives, posant le diagnostic d'épisode dépressif sévère avec symptômes psychotiques, un état de de stress post-traumatique complexe et un trouble mixte de la personnalité chez l'adulte (traits émotionnellement labiles) et préconisant une réévaluation à l'échéance d'un mois ; Si les atteintes à la santé dont souffre l'intéressée sont importantes, elles n'atteignent pour autant pas le seuil nécessaire pour considérer que la mise en oeuvre du transfert de la recourante constituerait une violation de l'art. 3 CEDH. En effet, rien n'indique que l'exécution en soi d'une telle mesure conduirait, avec les mesures d'accompagnement qui s'imposent en l'occurrence, à un déclin rapide, grave et irréversible de son état. Dans ce contexte, le Tribunal relève par ailleurs que l'intéressée ne s'est pas présentée à plusieurs consultations programmées, ce qui tend à démontrer que la situation n'est pas aussi critique que décrite dans le mémoire de recours. Cela étant, il ressort des différentes pièces versées au dossier que le diagnostic posé par le médecin psychiatre, de même que la prescription médicamenteuse, connaissent de légères variations et un affinage au fur et à mesure des consultations. Dans ce contexte, le Tribunal relève néanmoins l'utilité et la nécessité d'obtenir un rapport médical avant le transfert, ainsi que préconisé par le SEM dans sa notice sur les modalités du transfert versée au dossier, afin d'une part d'évaluer, au moment de l'exécution, l'influence des éventuelles modifications de l'état de santé psychique sur la conformité du transfert et, d'autre part, d'informer les autorités bulgares de la situation actuelle de la requérante qu'elles reprennent en charge. Par ailleurs, le SEM évaluera, avec le soutien des médecins consultants, la nécessité de mesures d'accompagnement en vue du transfert vers la Bulgarie. Pour le surplus des problèmes de santé ressortant du dossier, le Tribunal retient qu'il n'atteint pas le seuil de gravité exigé par la jurisprudence pour s'opposer au transfert.</w:t>
      </w:r>
    </w:p>
    <w:p>
      <w:r>
        <w:rPr>
          <w:b/>
        </w:rPr>
        <w:t>E. 5.2</w:t>
      </w:r>
    </w:p>
    <w:p>
      <w:r>
        <w:t>Enfin, de manière plus générale, s'agissant des plaintes formulées par les recourants à propos des mauvais traitements qu'ils auraient subis de la part des autorités bulgares, le Tribunal relève en premier lieu que les intéressées n'ont pas apporté d'indices suffisamment sérieux qu'à leur retour en Bulgarie, ils seraient privés durablement de tout accès aux conditions matérielles minimales d'accueil prévues par la directive Accueil. En outre, même à considérer que les requérants aient été victime de mauvais traitements lors de leur premier passage en Bulgarie, il n'existe aucune raison concrète et sérieuse d'admettre que leur dans ce pays dans le cadre des accords Dublin risquerait de les exposer à une situation similaire à celle qu'ils disent y avoir connue. Dans ce contexte, le Tribunal rappelle qu'en ce qui concerne la prise en charge de l'état de santé psychique de la recourante, la Bulgarie a fourni des garanties individuelles et concrètes. Quoi qu'il en soit, si après leur retour dans ce pays, les intéressés devaient être contraints par les circonstances à mener une existence non conforme à la dignité humaine, ou si la Bulgarie devait violer ses obligations d'assistance, ou de toute autre manière porter atteinte à leurs droits fondamentaux, il leur appartiendrait, le cas échéant, de faire valoir leurs droits directement auprès des autorités compétentes, en usant des voies de droit idoines (art. 26 directive Accueil ; cf. arrêt du TAF D-1617/2023 du 30 mars 2023 consid. 8.4.4 et 8.5).</w:t>
      </w:r>
    </w:p>
    <w:p>
      <w:r>
        <w:rPr>
          <w:b/>
        </w:rPr>
        <w:t>E. 5.3</w:t>
      </w:r>
    </w:p>
    <w:p>
      <w:r>
        <w:t>Au vu de ce qui précède, le transfert des recourants vers la Bulgarie n'est pas contraire aux obligations de la Suisse relevant du droit international public. En outre, le SEM a procédé à un examen correct des faits allégués par l'intéressé susceptibles de constituer des raisons humanitaires au sens de l'art. 29a al. 3 OA 1.</w:t>
      </w:r>
    </w:p>
    <w:p>
      <w:r>
        <w:rPr>
          <w:b/>
        </w:rPr>
        <w:t>E. 5.4</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2022 I/6 consid. 4.3.3.1).</w:t>
      </w:r>
    </w:p>
    <w:p>
      <w:r>
        <w:rPr>
          <w:b/>
        </w:rPr>
        <w:t>E. 6</w:t>
      </w:r>
    </w:p>
    <w:p>
      <w:r>
        <w:t>Au regard de l'ensemble des éléments qui précèdent, c'est à bon droit que le SEM n'est pas entré en matière sur la demande d'asile des intéressés, en application de l'art. 31a al. 1 let. b LAsi, et qu'il a prononcé leur transfert vers la Bulgarie conformément à l'art. 44 phr. 1 LAsi, étant précisé qu'aucune exception à la règle générale du renvoi n'est réalisée (cf. art. 32 OA 1). Le recours est par conséquent rejeté. Il est renoncé à un échange d'écritures (art. 111a al. 1 LAsi). Dans la mesure où il a été immédiatement statué sur le fond, les requêtes d'octroi de l'effet suspensif et d'exemption du paiement d'une avance de frais sont sans objet. Le litige prenant fin, les mesures superprovisionnelles prononcées le 20 novembre 2024 sont caduques.</w:t>
      </w:r>
    </w:p>
    <w:p>
      <w:r>
        <w:rPr>
          <w:b/>
        </w:rPr>
        <w:t>E. 7</w:t>
      </w:r>
    </w:p>
    <w:p>
      <w:r>
        <w:t>Au vu de l'issue de la cause, il y aurait lieu de mettre les frais de procédure à la charge des recourants, conformément à l'art. 63 al. 1 PA ainsi qu'aux art. 2 et 3 let. b du règlement du 21 février 2008 concernant les frais, dépens et indemnités fixés par le Tribunal administratif fédéral (FITAF, RS 173.320.2). Cela dit, les conclusions du recours n'étaient pas d'emblée vouées à l'échec et les recourants peuvent être tenus pour indigents, de sorte que la requête d'assistance judiciaire partielle doit être admise (art. 65 al. 1 PA). Il est donc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