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F-7249/2023 vom 28. November 2023</w:t>
      </w:r>
    </w:p>
    <w:p>
      <w:r>
        <w:t>Bundesverwaltungsgericht, 2023-11-28, FR</w:t>
      </w:r>
    </w:p>
    <w:p>
      <w:r>
        <w:rPr>
          <w:b/>
        </w:rPr>
        <w:t xml:space="preserve">Quelle: </w:t>
      </w:r>
      <w:r>
        <w:t>https://mcp.opencaselaw.ch/entscheid/bvger_F-7249_2023_d20231128</w:t>
      </w:r>
    </w:p>
    <w:p>
      <w:r>
        <w:t>FR: TAF F-7249/2023 du 28 novembre 2023</w:t>
      </w:r>
    </w:p>
    <w:p>
      <w:r>
        <w:t>IT: TAF F-7249/2023 del 28 novembre 2023</w:t>
      </w:r>
    </w:p>
    <w:p>
      <w:pPr>
        <w:pStyle w:val="Heading2"/>
      </w:pPr>
      <w:r>
        <w:t>Regeste</w:t>
      </w:r>
    </w:p>
    <w:p>
      <w:r>
        <w:t>Approbation d'une autorisation de s&amp;eacute;jour (divers) | Refus d'approbation à l'octroi d'une autorisation de séjour (art. 28 LEI) ; décision du SEM du 28 novembre 2023</w:t>
      </w:r>
    </w:p>
    <w:p>
      <w:pPr>
        <w:pStyle w:val="Heading2"/>
      </w:pPr>
      <w:r>
        <w:t>Erwägungen</w:t>
      </w:r>
    </w:p>
    <w:p>
      <w:r>
        <w:rPr>
          <w:b/>
        </w:rPr>
        <w:t>E. 11</w:t>
      </w:r>
    </w:p>
    <w:p>
      <w:r>
        <w:t>Vu l’issue de la procédure de recours, il y a lieu de mettre les frais de procédure à la charge des recourants (art. 63 al. 1 PA en relation avec les art. 1 à 3 du règlement du 21 février 2008 concernant les frais, dépens et</w:t>
      </w:r>
    </w:p>
    <w:p>
      <w:r>
        <w:t>F-7249/2023 Page 11 indemnités fixés par le Tribunal administratif fédéral [FITAF, RS 173.320.2]). (dispositif : page suivante)</w:t>
      </w:r>
    </w:p>
    <w:p>
      <w:r>
        <w:t>F-7249/2023 Page 12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