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F-7249/2023 vom 27. März 2025</w:t>
      </w:r>
    </w:p>
    <w:p>
      <w:r>
        <w:t>Bundesverwaltungsgericht, 2025-03-27, FR</w:t>
      </w:r>
    </w:p>
    <w:p>
      <w:r>
        <w:rPr>
          <w:b/>
        </w:rPr>
        <w:t xml:space="preserve">Quelle: </w:t>
      </w:r>
      <w:r>
        <w:t>https://mcp.opencaselaw.ch/entscheid/bvger_F-7249_2023</w:t>
      </w:r>
    </w:p>
    <w:p>
      <w:r>
        <w:t>FR: TAF F-7249/2023 du 27 mars 2025</w:t>
      </w:r>
    </w:p>
    <w:p>
      <w:r>
        <w:t>IT: TAF F-7249/2023 del 27 marzo 2025</w:t>
      </w:r>
    </w:p>
    <w:p>
      <w:pPr>
        <w:pStyle w:val="Heading2"/>
      </w:pPr>
      <w:r>
        <w:t>Regeste</w:t>
      </w:r>
    </w:p>
    <w:p>
      <w:r>
        <w:t>Approbation d'une autorisation de séjour (divers)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Vu l’issue de la procédure de recours, il y a lieu de mettre les frais de procédure à la charge des recourants (art. 63 al. 1 PA en relation avec les art. 1 à 3 du règlement du 21 février 2008 concernant les frais, dépens et</w:t>
      </w:r>
    </w:p>
    <w:p>
      <w:r>
        <w:t>F-7249/2023 Page 11 indemnités fixés par le Tribunal administratif fédéral [FITAF, RS 173.320.2]). (dispositif : page suivante)</w:t>
      </w:r>
    </w:p>
    <w:p>
      <w:r>
        <w:t>F-7249/2023 Page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