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F-7241/2024 vom 22. November 2024</w:t>
      </w:r>
    </w:p>
    <w:p>
      <w:r>
        <w:t>Bundesverwaltungsgericht, 2024-11-22, DE</w:t>
      </w:r>
    </w:p>
    <w:p>
      <w:r>
        <w:rPr>
          <w:b/>
        </w:rPr>
        <w:t xml:space="preserve">Quelle: </w:t>
      </w:r>
      <w:r>
        <w:t>https://mcp.opencaselaw.ch/entscheid/bvger_F-7241_2024</w:t>
      </w:r>
    </w:p>
    <w:p>
      <w:r>
        <w:t>FR: TAF F-7241/2024 du 22 novembre 2024</w:t>
      </w:r>
    </w:p>
    <w:p>
      <w:r>
        <w:t>IT: TAF F-7241/2024 del 22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und entscheidet über diese in der Regel - wie auch vorliegend - endgültig (vgl. Art. 83 Bst. d Ziff. 1 BGG). Der Beschwerdeführer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Überschreitung des Ermessens) sowie die unrichtige und unvollständige Feststellung des rechtserheblichen Sachverhalts gerügt werden (Art. 106 Abs. 1 AsylG).</w:t>
      </w:r>
    </w:p>
    <w:p>
      <w:r>
        <w:rPr>
          <w:b/>
        </w:rPr>
        <w:t>E. 2.2</w:t>
      </w:r>
    </w:p>
    <w:p>
      <w:r>
        <w:t>Der Beschwerdeführer beantragt gemäss Wortlaut seines ersten Rechtsbegehrens die vollständige Aufhebung der angefochtenen Verfügung. Aus den übrigen Anträgen und der Begründung der Beschwerde geht indessen hervor, dass sich die vorliegende Beschwerde nicht gegen die Anpassung des Alters des Beschwerdeführers im ZEMIS richtet (vgl. Dispositiv-Ziff. 6 der Verfügung vom 5. November 2024) und diese Dispositiv-Ziffer demnach nicht Gegenstand des vorliegenden Verfahrens bildet.</w:t>
      </w:r>
    </w:p>
    <w:p>
      <w:r>
        <w:rPr>
          <w:b/>
        </w:rPr>
        <w:t>E. 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Im Falle eines unbegleiteten Minderjährigen ohne familiäre Anknüpfungspunkte (zu einem anderen Mitgliedstaat) ist gemäss Art. 8 Abs. 4 Dublin-III-VO der Staat zuständig, in welchem er seinen Antrag gestellt hat. Diese Bestimmung könnte eine vorrangige Zuständigkeit der Schweiz (Art. 7 Abs. 1 Dublin-III-VO) begründen, da unbegleitete Minderjährige vom Wiederaufnahmeverfahren ausgenommen sind (vgl. z.B. Urteil BVGer E-6348/2023 vom 24. November 2023 E. 4.4 m.w.H.).</w:t>
      </w:r>
    </w:p>
    <w:p>
      <w:r>
        <w:rPr>
          <w:b/>
        </w:rPr>
        <w:t>E. 4.4</w:t>
      </w:r>
    </w:p>
    <w:p>
      <w:r>
        <w:t>Die Minderjährigkeit ist dabei vom Betroffenen zumindest glaubhaft zu machen (vgl. Entscheidungen und Mitteilungen der Asylrekurskommission [EMARK] 2004 Nr. 31 E 5, 6.2 und 7.3; 2004 Nr. 30 E. 5-6; 2001 Nr. 23 E. 6c; 2000 Nr. 19 E. 8b). Seitens der Asylbehörden ist im Rahmen einer Gesamtwürdigung eine Abwägung sämtlicher Anhaltspunkte vorzunehmen, die für oder gegen die Richtigkeit der betreffenden Altersangaben sprechen. Wesentlich sind dabei für echt befundene Identitätspapiere oder eigene Angaben der betroffenen Person (vgl. Urteil BVGer E-4931/2014 vom 21. Januar 2015 E. 5.1.1 m.H.a.; EMARK 2004 Nr. 30). Das Resultat des Altersgutachtens stellt nur ein Element bei der Beurteilung der Frage der Glaubhaftigkeit einer geltend gemachten Minderjährigkeit dar (vgl. BVGE 2019 I/6 E. 6.1 ff.).</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5.1</w:t>
      </w:r>
    </w:p>
    <w:p>
      <w:r>
        <w:t>In der angefochtenen Verfügung hielt das SEM - gestützt auf die Ergebnisse der Altersabklärungen, welche ein Mindestalter von 19.0 Jahren ergaben, die vom Beschwerdeführer anlässlich des vorinstanzlichen Verfahrens geltend gemachten, sich widersprechenden Angaben zu seinem Alter, den Umstand, dass er sich bei seiner Einreise in die Schweiz gegenüber den Schweizer Behörden als volljährige Person ausgab und in Kroatien als volljährige Person registriert wurde - überzeugend fest, dass es dem Beschwerdeführer nicht gelungen sei, die geltend gemachte Minderjährigkeit glaubhaft zu machen. Ebenso habe er keine rechtsgenüglichen Identitätsdokumente eingereicht, welche das geltend gemachte Alter zu untermauern vermöchten. Dagegen führte der Beschwerdeführer in unsubstantiierter Weise aus, er sei mit der Alterseinschätzung nicht einverstanden und halte daran fest, dass er minderjährig sei (vgl. Beschwerde S. 3). Damit bringt er nichts vor, was das Gericht in einem für die Glaubhaftmachung erforderlichen Masse von seiner Minderjährigkeit überzeugen könnte.</w:t>
      </w:r>
    </w:p>
    <w:p>
      <w:r>
        <w:rPr>
          <w:b/>
        </w:rPr>
        <w:t>E. 5.2</w:t>
      </w:r>
    </w:p>
    <w:p>
      <w:r>
        <w:t>Da die Minderjährigkeit des Beschwerdeführers nicht glaubhaft ist, fällt Art. 8 Abs. 4 Dublin-III-VO (Minderjährige) nicht als Kriterium zur Bestimmung des für das Asylverfahren zuständigen Mitgliedstaats in Betracht.</w:t>
      </w:r>
    </w:p>
    <w:p>
      <w:r>
        <w:rPr>
          <w:b/>
        </w:rPr>
        <w:t>E. 6</w:t>
      </w:r>
    </w:p>
    <w:p>
      <w:r>
        <w:t>Die kroatischen Behörden stimmten der Wiederaufnahme des Beschwerdeführers am 31. Oktober 2024 gestützt auf Art. 20 Abs. 5 Dublin-III-VO ausdrücklich zu, weshalb die grundsätzliche Zuständigkeit Kroatiens somit gegeben ist. Dem in diesem Zusammenhang gemachten Einwand des Beschwerdeführers, er habe nie beabsichtigt, dort ein Asylgesuch zu stellen, er habe mit den Behörden mangels Dolmetscher nicht kommunizieren können (Beschwerde S. 3), erweist sich als nicht stichhaltig. Der Antrag in Kroatien ist erstellt (vgl. Eurodac-Eintrag). Im Übrigen ist ein Mitgliedstaat auch dann für die Prüfung eines Antrags auf internationalen Schutz zuständig, wenn die betreffende Person - ohne einen Asylantrag gestellt zu haben - illegal eingereist und erfasst worden ist (Art. 13 Abs. 1 Dublin-III-VO). Auch der Wunsch des Beschwerdeführers auf Verbleib in der Schweiz vermag nicht gegen die Zuständigkeit Kroatiens zu sprechen, zumal die Dublin-III-VO den Schutzsuchenden kein Recht einräumt, den ihren Antrag prüfenden Staat selber auszuwählen (vgl. auch BVGE 2010/40 E. 8.3).</w:t>
      </w:r>
    </w:p>
    <w:p>
      <w:r>
        <w:rPr>
          <w:b/>
        </w:rPr>
        <w:t>E. 7.1</w:t>
      </w:r>
    </w:p>
    <w:p>
      <w:r>
        <w:t>Weiter brachte der Beschwerdeführer gegen die beabsichtigte Überstellung nach Kroatien im Wesentlichen vor, er sei gegen seinen Willen in Kroatien festgehalten worden, habe physische Gewalt erfahren und sei nach Bosnien (Push-Back) gebracht worden. Die kroatischen Behörden hätten ihn mehrmals geschlagen. Ihm sei keine Möglichkeit eingeräumt worden, mit den Beamten zu kommunizieren. Er habe die Sprache nicht verstanden und es sei kein Dolmetscher hinzugezogen worden. Dadurch sei sein Informationsrecht nach Art. 4 Dublin-III-VO- verletzt worden. Unter anderem sei ihm auch nicht erklärt worden, welche Folgen eine Sekundärmigration in einen anderen Mitgliedstaat haben könne. Die Antifolterkonvention von 1984 definiere Folter als jede Handlung durch die einer Person vorsätzliche grosse körperliche oder seelische Schmerzen zugefügt würden. Er sei vorsätzlich geschlagen worden. Seitdem habe er Albträume, Angst, Schlafprobleme und Kopfschmerzen. Ihn zurück in das Land zu schicken, wo Beamte ihm solche Schmerzen zugefügt hätten, wäre gegen die Menschenrechtsverpflichtungen der Schweiz. Die Aussicht dorthin zurückgeschafft zu werden, löse beim ihm grosse Ängste aus, die sowohl das aktuelle als auch ältere Traumata wiederaufleben lassen würden. Abgesehen davon brauche er eine medizinische Behandlung, die den Asylsuchenden in Kroatien nicht zur Verfügung stehe. Weiter verwies er in Bezug auf die Situation der Asylsuchenden in Kroatien auf zahlreiche Berichte und führte zusammenfassend aus, es gebe wesentliche Gründe für die Annahme, dass das Asylverfahren und die Aufnahmebedingungen in Kroatien systemischen Schwachstellen aufwiesen. Das SEM sei zu verpflichten, entsprechend der Ermessensklausel von Art. 17 Abs. 1 Dublin-III-VO eine Übernahme der Zuständigkeit ausführlich zu prüfen oder gestützt auf Art. 29a AsylV 1 die Souveränitätsklausel aus humanitären Gründen anzuwenden (Beschwerde S. 3 ff.).</w:t>
      </w:r>
    </w:p>
    <w:p>
      <w:r>
        <w:rPr>
          <w:b/>
        </w:rPr>
        <w:t>E. 7.2</w:t>
      </w:r>
    </w:p>
    <w:p>
      <w:r>
        <w:t>Die Vorinstanz hat korrekt erwogen, dass das kroatische Asylsystem rechtsprechungsgemäss keine systemischen Schwachstellen aufweist, aufgrund derer die Zuständigkeit gemäss Art. 3 Abs. 2 Dublin-III-VO auf die Schweiz überginge (vgl. Urteil E-1488/2020 vom 22. März 2023 [als Referenzurteil publiziert] E. 9.5), und dass vorliegend keine völkerrechtlichen Vollzugshindernisse ersichtlich sind, welche die Schweiz zu einem Selbsteintritt nach Art. 17 Abs. 1 Dublin-III-VO verpflichten würden. Dabei hat sie die Vorbringen des Beschwerdeführers im Hinblick auf das geltend gemachte Fehlverhalten von Beamtinnen und Beamten der kroatischen Polizei- und Grenzbehörde berücksichtigt und korrekt gewürdigt (vgl. jüngst Urteile des BVGer F-5644/2024 vom 1. Oktober 2024 E. 5.2; E-5359/2024 vom 4. September 2024 E. 6.2). Das SEM hat überdies zu Recht festgestellt, dass gemäss Art. 2 Bst. g Dublin-III-VO nur Ehegatten, nicht verheiratete Partner und minderjährige Kinder als Familienangehörige gelten und sich damit aus der Anwesenheit der angeblichen Brüder in der Schweiz nichts ableiten lässt. Im Übrigen bestehen auch keine Hinweise auf ein Abhängigkeitsverhältnis zu diesen im Sinne von Art. 16 Abs. 1 Dublin-III VO. In diesem Sinn muss nicht näher geprüft werden, ob es sich bei den angegebenen Personen tatsächlich um die Brüder des Beschwerdeführers handelt (vgl. Beschwerde S. 3). Darüber hinaus hat die Vorinstanz in rechtsfehlerfreier Ausübung des ihr nach Art. 17 Abs. 1 Dublin-III-VO und Art. 29a Abs. 3 AsylV 1 zukommenden Ermessens von einem Selbsteintritt der Schweiz abgesehen. Sie ist demnach zu Recht in Anwendung von Art. 31a Abs. 1 Bst. b AsylG auf das Asylgesuch des Beschwerdeführers nicht eingetreten und hat in Anwendung von Art. 44 AsylG seine Wegweisung nach Kroatien angeordnet.</w:t>
      </w:r>
    </w:p>
    <w:p>
      <w:r>
        <w:rPr>
          <w:b/>
        </w:rPr>
        <w:t>E. 7.3</w:t>
      </w:r>
    </w:p>
    <w:p>
      <w:r>
        <w:t>Was der Beschwerdeführer auf Rechtsmittelebene dagegen vorbringt (vgl. E. 7.1), vermag nichts an der Richtigkeit der angefochtenen Verfügung zu ändern. Die in der Beschwerde zitierten Berichte betreffend die Situation von Asylsuchenden in Kroatien vermögen nichts daran zu ändern, dass das Asylsystem rechtsprechungsgemäss keine systemischen Schwachstellen aufweist und insgesamt davon auszugehen ist, dass Gesuchstellende, welche gestützt auf die Dublin-III-VO überstellt werden, Zugang zum dortigen Asylverfahren erhalten. Nicht entscheidwesentlich ist der Hinweis auf die Asylstatistik, wonach in Kroatien im Jahre 2022 gerade einmal 21 Personen einen Schutzstatus erhalten hätten und lediglich fünf Asylgesuche von afghanischen Staatsangehörigen geprüft worden seien, zumal diese Zahlen kaum Rückschlüsse auf das Vorliegen oder Nichtvorliegen systemischer Mängel zulassen. Hinsichtlich seiner gesundheitlichen Situation trägt der Beschwerdeführer zwar vor, dass er auf ärztliche Behandlung angewiesen sei und verweist auf «Beilage 3: Arztberichte und Einladung zur Untersuchung» (Beschwerde S. 4), die der Beschwerde jedoch nicht beigelegt ist. Vorliegend besteht jedoch kein Anlass, ihn zum Nachreichen dieses Dokumentes aufzufordern, erklärte er doch anlässlich seiner Erstbefragung, keine gesundheitlichen Beschwerden zu haben. Darüber hinaus geht aus den Akten in medizinischer Hinsicht lediglich hervor, dass bei ihm am 27. September 2024 ein Rachenabstrich durchgeführt wurde, der unauffällig war (SEM act. 17). Ohnehin geht das Bundesverwaltungsgericht davon aus, dass Kroatien über eine ausreichende medizinische Infrastruktur verfügt (statt vieler: Urteil des BVGer F-4895/2024 vom 12. August 2024 E. 5.6). Weiter ist in Bezug auf seine wenig substantiierte Aussage, er habe physische Gewalt in Kroatien erfahren (Beschwerde S. 3), zu erwähnen, dass Kroatien Signatarstaat der EMRK und des Übereinkommens vom 10. Dezember 1984 gegen Folter und andere grausame, unmenschliche oder erniedrigende Behandlung oder Strafe (FoK, SR 0.105) ist und die diesbezüglichen völkerrechtlichen Verpflichtungen zu beachten hat. Schliesslich bleibt auch die vom Beschwerdeführer geltend gemachte Verletzung seines Informationsrechts durch die kroatischen Behörden unbelegt.</w:t>
      </w:r>
    </w:p>
    <w:p>
      <w:r>
        <w:rPr>
          <w:b/>
        </w:rPr>
        <w:t>E. 7.4</w:t>
      </w:r>
    </w:p>
    <w:p>
      <w:r>
        <w:t>Vor diesem Hintergrund ist weder die Übernahme der Zuständigkeit Kroatiens gestützt auf Art. 3 Abs. 2 Dublin-III-VO angezeigt noch bestand ein zwingender Grund für eine Anwendung der Ermessensklauseln von Art. 17 Dublin-III-VO. Auch sind keine Ermessensfehler in Bezug auf humanitäre Gründe im Sinne von Art. 29a Abs. 3 AsylV 1 festzustellen. Der nicht weiter begründete Rückweisungsantrag an die Vorinstanz ist abzuweisen.</w:t>
      </w:r>
    </w:p>
    <w:p>
      <w:r>
        <w:rPr>
          <w:b/>
        </w:rPr>
        <w:t>E. 8</w:t>
      </w:r>
    </w:p>
    <w:p>
      <w:r>
        <w:t>Nach dem Gesagten ist die angefochtene Verfügung nicht zu beanstanden (Art. 106 AsylG) und die Beschwerde ist abzuweisen. Mit dem vorliegenden Urteil fällt der am 19. November 2024 angeordnete Vollzugsstopp dahin. Das Gesuch um Verzicht auf Erhebung eines Kostenvorschusses ist mit heutigem Entscheid gegenstandslos geworden.</w:t>
      </w:r>
    </w:p>
    <w:p>
      <w:r>
        <w:rPr>
          <w:b/>
        </w:rPr>
        <w:t>E. 9.1</w:t>
      </w:r>
    </w:p>
    <w:p>
      <w:r>
        <w:t>Das Gesuch um Gewährung der unentgeltlichen Prozessführung ist ungeachtet der finanziellen Situation des Beschwerdeführers abzuweisen, da die Begehren - wie sich aus den vorstehenden Erwägungen ergibt - als aussichtslos zu bezeichnen waren, weshalb die Voraussetzungen von Art. 65 Abs. 1 VwVG nicht erfüllt sind.</w:t>
      </w:r>
    </w:p>
    <w:p>
      <w:r>
        <w:rPr>
          <w:b/>
        </w:rPr>
        <w:t>E. 9.2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