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F-723/2024 vom 6. Juni 2024</w:t>
      </w:r>
    </w:p>
    <w:p>
      <w:r>
        <w:t>Bundesverwaltungsgericht, 2024-06-06, DE</w:t>
      </w:r>
    </w:p>
    <w:p>
      <w:r>
        <w:rPr>
          <w:b/>
        </w:rPr>
        <w:t xml:space="preserve">Quelle: </w:t>
      </w:r>
      <w:r>
        <w:t>https://mcp.opencaselaw.ch/entscheid/bvger_F-723_2024</w:t>
      </w:r>
    </w:p>
    <w:p>
      <w:r>
        <w:t>FR: TAF F-723/2024 du 6 juin 2024</w:t>
      </w:r>
    </w:p>
    <w:p>
      <w:r>
        <w:t>IT: TAF F-723/2024 del 6 giugno 2024</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rPr>
          <w:b/>
        </w:rPr>
        <w:t>E. 1.2</w:t>
      </w:r>
    </w:p>
    <w:p>
      <w:r>
        <w:t>Der Beschwerdeführer hat am vorangegangenen Einspracheverfahren teilgenommen und ist als Gastgeber der Gesuchstellenden durch den an- gefochtenen Entscheid besonders berührt. Obwohl der ursprünglich ange- strebte Besuchszeitraum inzwischen abgelaufen ist, muss auf ein fortbe- stehendes Rechtsschutzinteresse geschlossen werden. Dies belegt allein schon die Einreichung des Rechtsmittels. Der Beschwerdeführer ist daher zur Erhebung des Rechtsmittels legitimiert (Art. 48 Abs. 1 VwVG). Auf die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w:t>
      </w:r>
    </w:p>
    <w:p>
      <w:r>
        <w:t>F-723/2024 Seite 4 lichen Verhältnisse zum Zeitpunkt seines Entscheides (vgl. BVGE 2014/1 E. 2 m.H.).</w:t>
      </w:r>
    </w:p>
    <w:p>
      <w:r>
        <w:rPr>
          <w:b/>
        </w:rPr>
        <w:t>E. 3</w:t>
      </w:r>
    </w:p>
    <w:p>
      <w:r>
        <w:t>Der angefochtenen Verfügung liegen Gesuche von pakistanischen Ge- suchstellenden um Erteilung von Visa zu Besuchszwecken für die Schweiz zugrunde. Da sich die Gesuchstellenden nicht auf die EU/EFTA-Personen- freizügigkeitsabkommen berufen können und die beabsichtigte Aufent- haltsdauer 90 Tage nicht überschreitet, fällt die vorliegende Streitsache in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4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Visa aufstellt und die Mitgliedstaaten verpflichtet, die Einreise respektive. das Visum zu verweigern, wenn die Voraussetzungen nicht er- füllt sind. Einen Anspruch auf Einreise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w:t>
      </w:r>
    </w:p>
    <w:p>
      <w:r>
        <w:t>F-723/2024 Seite 5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vom Antragsteller vorgelegten Belege oder am Wahrheitsgehalt ihres Inhalts, an der Glaubhaftigkeit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5.1</w:t>
      </w:r>
    </w:p>
    <w:p>
      <w:r>
        <w:t>Aufgrund ihrer Staatszugehörigkeit unterliegen die Gesuchstellenden der Visumspflicht (vgl. E. 4.1 hiervor). Bei der Prüfung der Einreisevoraus- setzungen nach Art. 6 Abs. 1 SGK ist die Frage der gesicherten Wieder-</w:t>
      </w:r>
    </w:p>
    <w:p>
      <w:r>
        <w:t>F-723/2024 Seite 6 ausreise zentral. Eine solche erachtete das SEM aufgrund der allgemeinen Situation im Heimatland und der persönlichen Verhältnisse der eingelade- nen Personen als nicht genügend gewährleistet.</w:t>
      </w:r>
    </w:p>
    <w:p>
      <w:r>
        <w:rPr>
          <w:b/>
        </w:rPr>
        <w:t>E. 5.2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beziehungsweise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m.H.).</w:t>
      </w:r>
    </w:p>
    <w:p>
      <w:r>
        <w:rPr>
          <w:b/>
        </w:rPr>
        <w:t>E. 5.3</w:t>
      </w:r>
    </w:p>
    <w:p>
      <w:r>
        <w:t>Betreffend die allgemeinen Verhältnisse in Pakistan ist festzuhalten, dass die Konjunktur im Land durch die unsichere politische Situation, sozi- ale Spannungen, schwierige Rahmenbedingungen für ausländische Inves- toren und die schweren Überschwemmungen im Sommer 2022 deutlich verlangsamt wurde. Es bestehen umfassende strukturelle Wirtschaftsprob- leme. Das Land leidet unter mangelnder Nachhaltigkeit, Instabilität, einer ungerechten Einkommensverteilung sowie einer schwierigen Sicherheits- lage. Die für die Entwicklung wichtige Verarbeitende Industrie wird durch hohe indirekte Steuern, eine sehr schlechte Infrastruktur und gering quali- fizierte Arbeitskräfte belastet. Es wird zudem zu wenig investiert, sowohl von inländischen als auch von ausländischen Investoren. Dazu kommen zu hohe Staatsausgaben, die zu einem grossen Teil in die Tilgung von Schulden sowie die Zahlung von Pensionen fliessen, eine schwache Han- delsbilanz mit einem chronischen Defizit sowie geringe Währungsreser- ven. Zwar steht die pakistanische Wirtschaft derzeit an der Schwelle einer Erholungsphase. Laut Prognosen des Internationalen Währungsfonds (IWF) wird für das aktuelle Finanzjahr 2023/2024 (1. Juli 2023 bis 30. Juni 2024) ein reales Wachstum des Bruttoinlandsprodukts (BIP) um 2,5 Pro- zent erwartet. Dies bedeutet eine deutliche Trendwende gegenüber dem Vorjahreszeitraum, in dem das BIP um 0,5 Prozent schrumpfte. Trotz die- ser Zuversicht bleibt die finanzielle Situation Pakistans aber prekär.</w:t>
      </w:r>
    </w:p>
    <w:p>
      <w:r>
        <w:t>F-723/2024 Seite 7 Weitere Schwierigkeiten betreffen das starke Bevölkerungswachstum und die Aufnahme von Flüchtlingen aus Afghanistan (vgl. &lt; https://www.bmz.de &gt; Länder &gt; Pakistan &gt;; https://www.gtai.de/de/trade/pakistan-wirtschaft/wirtschaftsausblick; https://www.freiheit.org/de/pakistan/pakistans-lange-liste-grosser-heraus- forderungen; alle abgerufen am 29.05.2024). Auf dem aktuellen Index der menschlichen Entwicklung, der durch das Entwicklungsprogramm der Ver- einten Nationen erstellt wird, belegt Pakistan lediglich Platz 164 von 193 gelisteten Staaten (vgl. &lt; https://hdr.undp.org &gt; Data Center ˃ Country In- sights &gt; Pakistan, abgerufen am 29.05.2024). Vor diesem Hintergrund ist das Risiko einer nicht fristgerechten Wiederausreise von Gesuchstellen- den aus Pakistan allgemein als hoch einzuschätzen (vgl. Urteile des BVGer F-2201/2022 vom 3. April 2024 E. 5.1; F-1004/2022 vom 5. Februar 2024 E. 6.1; F-4076/2022 vom 16. Oktober 2023 E. 6.3).</w:t>
      </w:r>
    </w:p>
    <w:p>
      <w:r>
        <w:rPr>
          <w:b/>
        </w:rPr>
        <w:t>E. 6</w:t>
      </w:r>
    </w:p>
    <w:p>
      <w:r>
        <w:t>Bei der Risikoanalyse sind allerdings nicht nur allgemeine Umstände und Erfahrungen, sondern auch sämtliche Gesichtspunkte des konkreten Ein- zelfalls zu berücksichtigen. Dabei sind in die Prognose über die Absicht einer gesuchstellenden Person, den Schengen-Raum fristgerecht zu ver- lassen, deren persönliche, familiäre und berufliche beziehungsweise wirt- schaftliche Situation sowie deren Interessenlage miteinzubeziehen (BVGE 2014/1 E. 6.3.1). Obliegt einer gesuchstellenden Person im Heimatland beispielsweise eine besondere berufliche, gesellschaftliche oder familiäre Verantwortung, kann dies die Prognose für eine anstandslose Wiederaus- reise begünstigen. Umgekehrt muss bei Personen, die in ihrer Heimat keine besonderen Verpflichtungen haben, das Risiko eines ausländer- rechtlich nicht regelkonformen Verhaltens nach einer bewilligten Einreise als hoch eingeschätzt werden (BVGE 2014/1 E. 6.3.1; 2009/27 E. 8).</w:t>
      </w:r>
    </w:p>
    <w:p>
      <w:r>
        <w:rPr>
          <w:b/>
        </w:rPr>
        <w:t>E. 6.1</w:t>
      </w:r>
    </w:p>
    <w:p>
      <w:r>
        <w:t>Bei den Gesuchstellenden handelt es sich um ein aus der Stadt F._______ (Provinz G._______) stammendes Ehepaar mit ihrer (...)-jähri- gen Tochter, dem jüngsten ihrer insgesamt (Nennung Anzahl) Kinder. Über ihre Lebensverhältnisse in der Heimat sind den Gesuchsunterlagen keine näheren Angaben zu entnehmen. Auf Beschwerdeebene wird ausgeführt, dass die älteren (Nennung Anzahl) Kinder – welche gemäss dem in den Akten liegenden (Nennung Beweismittel) (vgl. SEM act. 2/pag. 104 f.) im Alter von (...) sind – alle die Schule respektive eine höhere Fachschule besuchen und deshalb nicht mit in die Schweiz reisen würden, weil deren Ausbildung sehr wichtig sei. Während der geplanten Landesabwesenheit wären diese bei der (Nennung Verwandte) des Gesuchstellers 1</w:t>
      </w:r>
    </w:p>
    <w:p>
      <w:r>
        <w:t>F-723/2024 Seite 8 untergebracht. Jedoch bildet das Zurücklassen von Familienangehörigen für sich allein noch keine Garantie für eine anstandslose und fristgerechte Wiederausreise nach einem Besuchsaufenthalt. So zeigt die Erfahrung, dass es in der Regel vielmehr die individuell herrschenden wirtschaftlichen und sozialen Verhältnisse sind, die letztlich über Rückkehr oder Verbleib im Ausland entscheiden. Vorliegend ist diesbezüglich Folgendes anzufüh- ren: Wohl sind Verpflichtungen der Gesuchstellenden 1 und 2 als Eltern ihren Kindern gegenüber nicht von der Hand zu weisen. Diesbezüglich ist jedoch zu relativieren: So sind die (Nennung Anzahl) ältesten Kinder ge- mäss dem vorgängig erwähnten (Nennung Beweismittel) bereits volljährig und können somit über ihr Leben weitgehend selber bestimmen. Auch die (Nennung Anzahl) weiteren Kinder dürften mit ihren (...) Jahren bereits ei- nen hohen respektive einen gewissen Grad an Selbstständigkeit erreicht haben. Den Akten sind sodann keine Belege zu entnehmen, dass die (Nen- nung Anzahl) älteren Kinder tatsächlich die Schule oder eine weiterfüh- rende Ausbildung besuchen würden. Dass dies alle Kinder, insbesondere die Töchter, tun würden, ist angesichts der hohen Geschlechterungleich- heit – im aktuellen Global Gender Gap Report des World Economic Forum liegt Pakistan auf Rang 153 von 156 – als äusserst erstaunlich und wenig plausibel zu werten. Aufgrund der gesamten Umstände kann nicht davon ausgegangen werden, im persönlichen oder familiären Umfeld der Einge- ladenen seien Verpflichtungen oder gar Abhängigkeiten vorhanden, die be- sondere Gewähr für eine Rückkehr ins Heimatland bieten könnten. Tritt hinzu, dass in Situationen angespannter wirtschaftlicher Verhältnisse selbst zurückbleibende nahe Angehörige regelmässig nicht verlässlich da- von abhalten können, den Entscheid für eine Emigration zu fällen; dies etwa in der Hoffnung, die Zurückgebliebenen aus dem Ausland wirtschaft- lich effizienter unterstützen zu können.</w:t>
      </w:r>
    </w:p>
    <w:p>
      <w:r>
        <w:rPr>
          <w:b/>
        </w:rPr>
        <w:t>E. 6.2</w:t>
      </w:r>
    </w:p>
    <w:p>
      <w:r>
        <w:t>Entsprechend grosse Bedeutung kommt deshalb den wirtschaftlichen Verhältnissen zu, in denen sich die Gesuchstellenden befinden. Der Ge- suchsteller 1 ist in der Landwirtschaft tätig und verfügte gemäss den ein- gereichten Unterlagen im Jahr 2023 über ein steuerbares Vermögen von umgerechnet zirka Fr. (...).– und ein Jahreseinkommen von etwas über Fr. (...).–, ungefähr Fr. (...).– monatlich (vgl. SEM act. 2/pag. 87). Dieser Lohn liegt über dem Durchschnittslohn in Pakistan, der 2021 monatlich USD 150.– (umgerechnet ca. CHF 140.– [Stand November 2021]) betrug (vgl. &lt;https://www.ceicdata.com/de/indicator/pakistan/monthly-earnings&gt;, abgerufen am 29.05.2024). Zur finanziellen Situation der Gesuchstellerin- nen 2 und 3 liegen keine Informationen oder Unterlagen vor; die Gesuch- stellerin 3 ist jedoch ohnehin noch im schulpflichtigen Alter. Da gemäss den</w:t>
      </w:r>
    </w:p>
    <w:p>
      <w:r>
        <w:t>F-723/2024 Seite 9 Ausführungen in der Beschwerdeschrift die (Nennung Anzahl) älteren Kin- der die Schule respektive eine höhere Fachschule besuchen sollen, han- delt es sich beim Gesuchsteller 1 um den Ernährer einer (...)-köpfigen Fa- milie, wodurch sich sein über dem Durchschnitt liegendes Monatseinkom- men erheblich relativiert. Den in den Akten liegenden Kontoauszügen für die Zeit vom 3. August 2022 bis 3. August 2023 sind sodann Einzahlungen in sehr unregelmässigen Abständen zu entnehmen. Dies überrascht, be- zeichnet sich der Gesuchsteller 1 doch selber als "Landlord", der eigenen Angaben zufolge ein solides Einkommen aus seinen landwirtschaftlichen Flächen erwirtschafte (vgl. SEM act. 2/pag. 117), weshalb regelmässige Einzahlungen zu erwarten wären (vgl. SEM act. 2/pag. 88-98 und 127). Zudem ist aus den Auszügen nicht ersichtlich, wer die Einzahlungen getä- tigt hat. Es ist nicht zweifelsfrei erstellt, ob die Gelder aus der Landwirt- schaft erwirtschaftet wurden. Da sich das Vermögen des Gesuchstellers 1 zu einem grossen Teil aus Immobilien und landwirtschaftlichen Grundstü- cken zusammensetzt (vgl. SEM act. 2/pag. 84), ginge dieses im Falle einer Migration nicht verloren, weshalb es keine Gewähr für eine anstandslose Wiederausreise zu bieten vermag.</w:t>
      </w:r>
    </w:p>
    <w:p>
      <w:r>
        <w:rPr>
          <w:b/>
        </w:rPr>
        <w:t>E. 6.3</w:t>
      </w:r>
    </w:p>
    <w:p>
      <w:r>
        <w:t>Aufgrund der gesamten Aktenlage konnte das SEM davon ausgehen, dass keine hinreichende Gewähr für eine fristgerechte und anstandslose Wiederausreise der Gesuchstellenden nach einem Besuchsaufenthalt be- steht. Mithin fehlt es an einer unabdingbaren Voraussetzung für die Ertei- lung von einheitlichen Visa für den gesamten Schengen-Raum. Der ver- ständliche Wunsch des Beschwerdeführers, den Gesuchstellenden die Schweiz und seine Lebensweise näher zu bringen, hat angesichts der vor- liegenden Umstände in den Hintergrund zu treten. Bei der Risikobeurtei- lung ist in erster Linie das mögliche Verhalten des Gastes selbst von Be- deutung. Gastgeber können zwar mit rechtlich verbindlicher Wirkung für gewisse finanzielle Risiken im Zusammenhang mit einem Besuchsaufent- halt, nicht aber für ein bestimmtes Tun oder Unterlassen ihres Gastes ein- stehen (vgl. (vgl. BVGE 2014/1 E. 6.3.7 m.H.).</w:t>
      </w:r>
    </w:p>
    <w:p>
      <w:r>
        <w:rPr>
          <w:b/>
        </w:rPr>
        <w:t>E. 7</w:t>
      </w:r>
    </w:p>
    <w:p>
      <w:r>
        <w:t>Aus diesen Darlegungen folgt, dass die angefochtene Verfügung im Lichte von Art. 49 VwVG nicht zu beanstanden ist. Die Beschwerde ist daher ab- zuweisen.</w:t>
      </w:r>
    </w:p>
    <w:p>
      <w:r>
        <w:rPr>
          <w:b/>
        </w:rPr>
        <w:t>E. 8</w:t>
      </w:r>
    </w:p>
    <w:p>
      <w:r>
        <w:t>Bei diesem Ausgang des Verfahrens sind die Kosten dem Beschwerdefüh- rer aufzuerlegen (vgl. Art. 63 Abs. 1 VwVG) und auf insgesamt Fr. 800.–</w:t>
      </w:r>
    </w:p>
    <w:p>
      <w:r>
        <w:t>F-723/2024 Seite 10 festzusetzen (Art. 1-3 des Reglements vom 21. Februar 2008 über die Kos- ten und Entschädigungen vor dem Bundesverwaltungsgericht [VGKE, SR 173.320.2]). Der in der gleichen Höhe geleistete Kostenvorschuss ist zur Bezahlung der Verfahrenskosten zu verwenden. (Dispositiv nächste Seite)</w:t>
      </w:r>
    </w:p>
    <w:p>
      <w:r>
        <w:t>F-723/2024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