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F-7238/2018 vom 17. März 2020</w:t>
      </w:r>
    </w:p>
    <w:p>
      <w:r>
        <w:t>Bundesverwaltungsgericht, 2020-03-17, FR</w:t>
      </w:r>
    </w:p>
    <w:p>
      <w:r>
        <w:rPr>
          <w:b/>
        </w:rPr>
        <w:t xml:space="preserve">Quelle: </w:t>
      </w:r>
      <w:r>
        <w:t>https://mcp.opencaselaw.ch/entscheid/bvger_F-7238_2018</w:t>
      </w:r>
    </w:p>
    <w:p>
      <w:r>
        <w:t>FR: TAF F-7238/2018 du 17 mars 2020</w:t>
      </w:r>
    </w:p>
    <w:p>
      <w:r>
        <w:t>IT: TAF F-7238/2018 del 17 marzo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en Suisse prononcées par le SEM (cf. art. 33 let. d LTAF) sont susceptibles de recours au Tribunal, qui statue définitivement (cf. art. 1 al. 2 LTAF en relation avec l'art. 83 let. c ch. 1 LTF), sous réserve des cas où l'Accord sur la libre circulation des personnes du 21 juin 1999 (ALCP, RS 0.142.112.681) s'applique, ce qui n'est pas le cas en l'espèce, la recourante étant ressortissante d'un Etat tiers (cf. art. 1 al. 2 LTAF en lien avec l'art. 83 let. c ch. 1 LTF).</w:t>
      </w:r>
    </w:p>
    <w:p>
      <w:r>
        <w:rPr>
          <w:b/>
        </w:rPr>
        <w:t>E. 1.3</w:t>
      </w:r>
    </w:p>
    <w:p>
      <w:r>
        <w:t>A moins que la LTAF n'en dispose autrement, la procédure devant le Tribunal est régie par la PA (art. 37 LTAF).</w:t>
      </w:r>
    </w:p>
    <w:p>
      <w:r>
        <w:rPr>
          <w:b/>
        </w:rPr>
        <w:t>E. 1.4</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Comme précisé dans sa jurisprudence (cf., notamment,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ou privé prépondérant est susceptible de justifier une application immédiate des nouvelles dispositions.</w:t>
      </w:r>
    </w:p>
    <w:p>
      <w:r>
        <w:rPr>
          <w:b/>
        </w:rPr>
        <w:t>E. 3.3</w:t>
      </w:r>
    </w:p>
    <w:p>
      <w:r>
        <w:t>En l'occurrence, la décision querellée a été prononcée avant l'entrée en vigueur du nouveau droit au 1er janvier 2019. Il convient de relever que les articles de la LEtr applicables dans la présente procédure, soit principalement les art. 5, 10, 11, 67 et 115, n'ont pas subi de modification. En revanche, l'art. 80 OASA, qui définit les notions d'atteinte à la sécurité et à l'ordre publics,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 voir à ce sujet, Rapport explicatif concernant la modification de l'OASA du 2 août 2018, accessible sur le site du SEM : www.sem.admin.ch, sous Accueil SEM &gt; Actualité &gt; Projets de législation en cours &gt; Projets de législation terminés &gt; Paquet 2 : Modification de l'ordonnance relative à l'admission, au séjour et à l'exercice d'une activité lucrative [OASA] et révision totale de l'ordonnance sur l'intégration des étrangers [OIE] Adoption, consulté en mars 2020). Le Tribunal considère, dès lors, qu'il n'y a pas d'intérêt public prépondérant à ce que le nouveau droit s'applique immédiatement. Par souci de clarté, il continuera donc à utiliser l'ancienne dénomination « LEtr ». Il en va de même en rapport avec l'OASA et l'OIE, ces ordonnances étant citées selon leur teneur valable jusqu'au 31 décembre 2018.</w:t>
      </w:r>
    </w:p>
    <w:p>
      <w:r>
        <w:rPr>
          <w:b/>
        </w:rPr>
        <w:t>E. 4.1</w:t>
      </w:r>
    </w:p>
    <w:p>
      <w:r>
        <w:t>La recourante est une ressortissante libanaise, soit originaire d'un Etat tiers, de sorte que le prononcé querellé s'examine à l'aune de la LEtr, les dispositions de l'ALCP n'étant pas applicables au cas d'espèce. Selon le Tribunal fédéral (ci-après : TF), un étranger ressortissant d'un pays tiers n'a pas besoin d'avoir atteint de manière grave l'ordre et la sécurité publics avant de pouvoir se voir interdire d'entrée en Suisse sur la base du seul art. 67 LEtr (cf. ATF 139 II 121 consid. 5.4).</w:t>
      </w:r>
    </w:p>
    <w:p>
      <w:r>
        <w:rPr>
          <w:b/>
        </w:rPr>
        <w:t>E. 4.2</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4.3</w:t>
      </w:r>
    </w:p>
    <w:p>
      <w:r>
        <w:t>Aux termes de l'art. 2 al. 1 OEV,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([code frontières Schengen], version codifiée, JO L 77 du 23 mars 2016 p. 1). L'art. 6 par. 1 du code frontières Schengen, dont le contenu coïncide largement avec celui de l'art. 5 al. 1 LEtr précité (cf. arrêt du TAF F-7153/2018 du 7 octobre 2019 consid. 5.2.1),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 les critères étant les suivants : la durée de validité du document est supérieure d'au moins trois mois à la date à laquelle le demandeur a prévu de quitter le territoire des Etats membres, sous réserve de dérogations en cas d'urgence dûment justifiées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5.1</w:t>
      </w:r>
    </w:p>
    <w:p>
      <w:r>
        <w:t>Selon l'art. 67 al. 2 let. a et c LEtr, le SEM peut interdire l'entrée en Suisse à un étranger lorsque ce dernier a attenté à la sécurité et à l'ordre publics en Suisse ou à l'étranger ou les a mis en danger et lorsqu'il a été placé en détention en phase préparatoire, en détention en vue du renvoi ou de l'expulsion ou en détention pour insoumission (art. 75 à 78).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du Conseil fédéral du 8 mars 2002 concernant la loi sur les étrangers, FF 2002 3469, 3568 [ci-après : Message LEtr] ; voir également ATAF 2017 VII/2 consid. 4.4 et 6.4).</w:t>
      </w:r>
    </w:p>
    <w:p>
      <w:r>
        <w:rPr>
          <w:b/>
        </w:rPr>
        <w:t>E. 5.2</w:t>
      </w:r>
    </w:p>
    <w:p>
      <w:r>
        <w:t>En vertu de l'ancien 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dans son ancienne teneur).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 6546/2017 du 10 août 2018 consid. 4.2 et les réf. cit.).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 6.Dans un premier temps, il s'agit d'examiner si le prononcé d'une interdiction d'entrée est justifié dans son principe. 6.1 En l'occurrence, il ressort du rapport établi le 4 octobre 2018 par le Corps des garde-frontière de Brigue que A._______ était entrée en Suisse alors qu'elle ne disposait d'aucun document de voyage valable, ni d'aucun visa d'entrée dans ce pays et n'était en possession que d'un titre de séjour italien périmé. Par ce comportement, elle a clairement enfreint les dispositions légales en matière d'entrée en Suisse (cf. art. 5 LEtr et art. 6 par. 1 code frontières Schengen ; voir, dans des affaires similaires, les arrêts du TAF F-297/2017 du 9 mai 2018 consid. 6.2 et C-5080/2014 du 21 mars 2016 consid. 6), ce qui constitue un motif d'éloignement au sens de l'art. 67 al. 2 let. a LEtr. Il convient de rappeler à cet égard que, selon la jurisprudence constante du Tribunal de céans, le fait d'entrer et de séjourner illégalement en Suisse constitue une violation grave des prescriptions en matière de police des étrangers (cf. consid. 5.2 supra). Le Tribunal constate à cet égard que les faits reprochés à l'intéressée sont établis et n'ont d'ailleurs nullement été contestés en procédure de recours. Aussi, force est d'admettre que l'interdiction d'entrée prononcée le 5 novembre 2018 en application de l'art. 67 al. 2 let. a LEtr est parfaitement justifiée dans son principe. 6.Il convient encore d'examiner si la mesure d'éloignement prise par l'autorité intimée satisfait aux principes de proportionnalité et de l'égalité de traitement. 6.1 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 6.2 En l'espèce, s'agissant de l'intérêt public à l'éloignement de la recourante de Suisse, le Tribunal observe que les motifs retenus à l'appui de la mesure d'éloignement prise à l'endroit de l'intéressée ne sauraient être contestés et ne sont pas remis en cause dans le recours.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F-5267/2015 consid. 6.3 et la référence citée). 6.3 En considération de l'ensemble des éléments objectifs et subjectifs de la cause, le Tribunal considère que l'interdiction d'entrée en Suisse prise par l'autorité inférieure le 5 novembre 2018 était certes une mesure nécessaire et adéquate afin de prévenir toute nouvelle atteinte à la sécurité et à l'ordre publics en Suisse. Compte tenu de la faible gravité des faits reprochés à la recourante, la durée de cette mesure apparaît toutefois excessive, compte tenu également de son intérêt privé à pouvoir se rendre en Suisse pour y visiter les membres de sa famille, sous réserve des limitations prévues par la législation en vigueur. Il convient en conséquence de réduire la durée de la mesure d'éloignement prononcée par le SEM et de limiter les effets de celle-ci au jour du présent arrêt.</w:t>
      </w:r>
    </w:p>
    <w:p>
      <w:r>
        <w:rPr>
          <w:b/>
        </w:rPr>
        <w:t>E. 7.1</w:t>
      </w:r>
    </w:p>
    <w:p>
      <w:r>
        <w:t>Le SEM a par ailleurs ordonné l'inscription de l'interdiction d'entrée dans le SIS, ce signalement ayant eu pour effet d'interdire à la recourante de pénétrer dans l'Espace Schengen.</w:t>
      </w:r>
    </w:p>
    <w:p>
      <w:r>
        <w:rPr>
          <w:b/>
        </w:rPr>
        <w:t>E. 7.2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7.3</w:t>
      </w:r>
    </w:p>
    <w:p>
      <w:r>
        <w:t>En l'espèce, dès lors que le Tribunal a été amené à limiter la durée de l'interdiction d'entrée au jour du présent arrêt, le signalement de la recourante au SIS II, qui a été temporairement suspendu durant la procédure de recours, devra être définitivement supprimé sans délai par l'autorité inférieure (art. 34 par. 2 SIS II).</w:t>
      </w:r>
    </w:p>
    <w:p>
      <w:r>
        <w:rPr>
          <w:b/>
        </w:rPr>
        <w:t>E. 8.1</w:t>
      </w:r>
    </w:p>
    <w:p>
      <w:r>
        <w:t>Le recours est en conséquence partiellement admis et la décision du SEM du 5 novembre 2018 est réformée, en ce sens que les effets de l'interdiction d'entrée sont limités au jour du prononcé du présent arrêt. De même, le signalement de la recourante au SIS II devra être supprimé sans délai. Dans la mesure où la recourante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 Obtenant partiellement gain de cause, la recourante a par ailleurs droit à des dépens réduits pour les frais nécessaires et relativement élevés causés par le litige (art. 64 al. 1 PA en relation avec l'art. 7 FITAF). Au vu de l'ensemble des circonstances du cas, de l'importance de l'affaire, du degré de difficulté de cette dernière et de l'ampleur du travail accompli par la mandataire de la recourante, le Tribunal estime, considérant les art. 8 ss FITAF, que le versement d'un montant de 600 francs à titre de dépens réduits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