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F-7232/2018 vom 8. August 2019</w:t>
      </w:r>
    </w:p>
    <w:p>
      <w:r>
        <w:t>Bundesverwaltungsgericht, 2019-08-08, DE</w:t>
      </w:r>
    </w:p>
    <w:p>
      <w:r>
        <w:rPr>
          <w:b/>
        </w:rPr>
        <w:t xml:space="preserve">Quelle: </w:t>
      </w:r>
      <w:r>
        <w:t>https://mcp.opencaselaw.ch/entscheid/bvger_F-7232_2018</w:t>
      </w:r>
    </w:p>
    <w:p>
      <w:r>
        <w:t>FR: TAF F-7232/2018 du 8 août 2019</w:t>
      </w:r>
    </w:p>
    <w:p>
      <w:r>
        <w:t>IT: TAF F-7232/2018 del 8 agosto 2019</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Beschwerde legitimiert (Art. 48 Abs. 1 VwVG). Obwohl der fest anberaumte Besuchszeitraum inzwischen abgelaufen ist, muss auf ein fortbestehendes Rechtsschutzinteresse geschlossen werden. Dies belegt allein schon die Einreichung des Rechtsmittels. Auf die im Übrigen frist- und formgerecht eingereichte Beschwerde ist einzutreten (Art. 50 und 52 VwVG).</w:t>
      </w:r>
    </w:p>
    <w:p>
      <w:r>
        <w:rPr>
          <w:b/>
        </w:rPr>
        <w:t>E. 1.4</w:t>
      </w:r>
    </w:p>
    <w:p>
      <w:r>
        <w:t>In der vorliegenden Angelegenheit entscheidet das Bundesverwaltungsgericht endgültig (Art. 83 Bst. c Ziff. 1 BGG).</w:t>
      </w:r>
    </w:p>
    <w:p>
      <w:r>
        <w:rPr>
          <w:b/>
        </w:rPr>
        <w:t>E. 2.1</w:t>
      </w:r>
    </w:p>
    <w:p>
      <w:r>
        <w:t>Die angefochtene Verfügung erging nach der Verordnung vom 22. Oktober 2008 über die Einreise und die Visumerteilung (aVEV, AS 2008 5441). Besagte Verordnung wurde per 15. September 2018 aufgehoben und durch die Verordnung über die Einreise und Visumerteilung vom 15. August 2018 (VEV, SR 142.204) ersetzt. Gemäss den Übergangsbestimmungen kommt im vorliegenden Verfahren neues Recht zur Anwendung (vgl. Art. 69-71 VEV).</w:t>
      </w:r>
    </w:p>
    <w:p>
      <w:r>
        <w:rPr>
          <w:b/>
        </w:rPr>
        <w:t>E. 2.2</w:t>
      </w:r>
    </w:p>
    <w:p>
      <w:r>
        <w:t>Am 1. Januar 2019 ist die Teilrevision des Ausländergesetzes vom 16. Dezember 2005 (AuG) abschliessend in Kraft getreten (AS 2018 3171). Dabei wurde der Titel des Gesetzes in "Ausländer- und Integrationsgesetz" (AIG, SR 142.20) umbenannt. Das Gericht verwendet ab diesem Zeitpunkt die neue Bezeichnung, da die in diesem Urteil behandelten wesentlichen Bestimmungen nicht geändert wurden (vgl. Urteil des BVGer F-2068/ 2018 vom 1. Februar 2019 E. 2).</w:t>
      </w:r>
    </w:p>
    <w:p>
      <w:r>
        <w:rPr>
          <w:b/>
        </w:rPr>
        <w:t>E. 3</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4.1</w:t>
      </w:r>
    </w:p>
    <w:p>
      <w:r>
        <w:t>Der angefochtenen Verfügung liegt das Gesuch einer kosovarischen Staatsangehörigen um Erteilung eines Visums zu Besuchszwecken für die Schweiz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4.3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Kosovo stammenden Gesuchstellerin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5.1</w:t>
      </w:r>
    </w:p>
    <w:p>
      <w:r>
        <w:t>Bei der Beurteilung der Gewähr für eine fristgerechte Wiederausreise muss ein zukünftiges Verhalten beurteilt werden, weshalb lediglich Prognosen gestellt werden können. Dabei sind einerseits die allgemeine Lage im Herkunftsland und andererseits die individuelle Situation der gesuchstellenden Person in die Beurteilung miteinzubeziehen.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5.2</w:t>
      </w:r>
    </w:p>
    <w:p>
      <w:r>
        <w:t>Im Zusammenhang mit der allgemeinen Lage im Kosovo wies die Vor-instanz in ihrem Entscheid auf die nachteiligen wirtschaftlichen Verhältnis-se und den damit einhergehenden Migrationsdruck hin. Diese Einschätzung ist im Ergebnis nicht zu beanstanden. Die Arbeitslosigkeit lag 2018 offiziell bei 29,6% (Frauen 33,4%, Männer 28,5%, bei Jugendlichen zwischen 15 und 24 Jahren 55,4 %) und zeigte gegenüber den Vorjahren keine Besserung. Diese Zahlen sind aufgrund des schwer einschätzbaren informellen Sektors (laut einer US-Studie geht etwa ein Drittel der Arbeitslosen einer - wenn auch zumeist schlecht bezahlten - Arbeit nach) zu relativieren. Die Wirtschaft ist aber nach wie vor zu grossen Teilen von Transferleistungen der kosovarischen Diaspora, vor allem in Deutschland und der Schweiz, abhängig. Im vergangenen Jahr betrug das Pro-Kopf-Einkommen nach Schätzung der kosovarischen Regierung EUR 3'727.-, womit Kosovo das ärmste Land auf dem Balkan bleibt (Quelle: Deutsches Auswärtiges Amt: www.auswaertiges-amt.de Aussen- und Europapolitik Länder Kosovo Wirtschaftspolitik, Stand: 30. April 2019, besucht im Juli 2019; vgl. ergänzend Urteil des BVGer F-4033/2017 vom 12. März 2018 E. 5.3).</w:t>
      </w:r>
    </w:p>
    <w:p>
      <w:r>
        <w:rPr>
          <w:b/>
        </w:rPr>
        <w:t>E. 5.3</w:t>
      </w:r>
    </w:p>
    <w:p>
      <w:r>
        <w:t>Angesichts dieser Umstände und unter Berücksichtigung, dass die Bereitschaft, das Heimatland zu verlassen, erfahrungsgemäss dort begünstigt wird, wo - wie in casu - bereits Verwandte im Ausland leben, ist nicht zu beanstanden, dass das SEM das Risiko einer nicht fristgerechten Wiederausreise in Bezug auf das Land als solches als grundsätzlich hoch einschätzte. Allerdings wäre es zu schematisch und nicht haltbar, generell und ohne spezifische Anhaltspunkte ausschliesslich aufgrund der allgemeinen Lage sowie der bisherigen Erfahrungen auf eine nicht hinreichend gesicherte Wiederausreise zu schliessen. Es gilt vielmehr, über die Situation im Herkunftsland hinaus die weiteren Umstände zu würdigen. Namentlich familiäre, gesellschaftliche oder berufliche Verpflichtungen können die Prognose für eine anstandslose Wiederausreise begünstigen.</w:t>
      </w:r>
    </w:p>
    <w:p>
      <w:r>
        <w:rPr>
          <w:b/>
        </w:rPr>
        <w:t>E. 5.4</w:t>
      </w:r>
    </w:p>
    <w:p>
      <w:r>
        <w:t>Die angefochtene Verfügung betrifft nicht die Kernfamilie. Bei der Gesuchstellerin handelt es sich um die Gattin eines Cousins des Beschwerdeführers. Sie ist 54-jährig, verheiratet und Mutter von vier inzwischen erwachsenen Kindern. Laut Angaben des Gastgebers wohnt sie im Kosovo bei ihrem Ehemann (zum Ganzen siehe SEM-act. 7/40). Näheres ist über ihre persönlichen und familiären Verhältnisse im Heimatland nicht bekannt. Wohl besteht insoweit eine familiäre Bindung, welche im dargelegten Kontext indes noch keine besondere Gewähr für eine fristgerechte Rückkehr darstellt. Was die finanziellen Verhältnisse anbelangt, so kann den Akten entnommen werden, dass die eingeladene Person Hausfrau ist (laut Visumsgesuch «unemployed»). Ob ihr Ehemann einer Erwerbstätigkeit nachgeht, ist nicht aktenkundig. Auch die wirtschaftliche Situation präsentiert sich mithin nicht dergestalt, dass sie die Gesuchstellerin von einer Emigration abhalten könnte.</w:t>
      </w:r>
    </w:p>
    <w:p>
      <w:r>
        <w:rPr>
          <w:b/>
        </w:rPr>
        <w:t>E. 5.5</w:t>
      </w:r>
    </w:p>
    <w:p>
      <w:r>
        <w:t>Die Gesuchstellerin hat bereits im März 2018 ein Schengen-Visum beantragt (SEM-act. 4/19-20). Dieses wurde ihr von der Schweizer Botschaft in Pristina am 7. März 2018 verweigert. Die damaligen Abklärungen der Schweizervertretung ergaben, dass eine Tochter der Eingeladenen in Deutschland lebt (SEM-act. 4/16). Ausserdem ging jene Einladung von einer anderen in der Schweiz wohnhaften Person, nämlich dem Neffen des Ehemannes des Gastes, aus. Diese Angaben decken sich mit den Erkenntnissen aus einem Abgleich mit der Visa-Datenbank «Orbis». Der Beschwerdeführer äusserte sich hierzu nicht. Die schweizerische Vertretung vor Ort hegt daher Zweifel am angegebenen Aufenthaltszweck. Dem ist beizupflichten. Jedenfalls wirft das beschriebene Vorgehen der Gesuchstellerin Fragen auf und vermag das Risiko einer nicht anstandslosen Wiederausreise nicht zu mildern.</w:t>
      </w:r>
    </w:p>
    <w:p>
      <w:r>
        <w:rPr>
          <w:b/>
        </w:rPr>
        <w:t>E. 5.6</w:t>
      </w:r>
    </w:p>
    <w:p>
      <w:r>
        <w:t>Vor dem dargelegten allgemeinen und persönlichen Hintergrund durfte die Vorinstanz davon ausgehen, dass keine hinreichende Gewähr für eine fristgerechte anstandslose Wiederausreise der Gesuchstellerin nach einem Besuchsaufenthalt besteht. An den guten Absichten und der Integrität des Beschwerdeführers ist hierbei nicht zu zweifeln. Zugleich gilt es zu bedenken, dass er in seiner Eigenschaft als Gastgeber zwar für gewisse finanzielle Risiken Garantie leisten kann, nicht aber - mangels rechtlicher und faktischer Durchsetzbarkeit - für ein bestimmtes Verhalten der eingeladenen Person (vgl. BVGE 2014/1 E. 6.3.7 und BVGE 2009/27 E. 9).</w:t>
      </w:r>
    </w:p>
    <w:p>
      <w:r>
        <w:rPr>
          <w:b/>
        </w:rPr>
        <w:t>E. 5.7</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denn auch nicht ersichtlich.</w:t>
      </w:r>
    </w:p>
    <w:p>
      <w:r>
        <w:rPr>
          <w:b/>
        </w:rPr>
        <w:t>E. 6</w:t>
      </w:r>
    </w:p>
    <w:p>
      <w:r>
        <w:t>Aus diesen Darlegungen folgt, dass die angefochtene Verfügung im Lichte von Art. 49 VwVG nicht zu beanstanden ist.</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