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F-7218/2017 vom 2. Juli 2019</w:t>
      </w:r>
    </w:p>
    <w:p>
      <w:r>
        <w:t>Bundesverwaltungsgericht, 2019-07-02, DE</w:t>
      </w:r>
    </w:p>
    <w:p>
      <w:r>
        <w:rPr>
          <w:b/>
        </w:rPr>
        <w:t xml:space="preserve">Quelle: </w:t>
      </w:r>
      <w:r>
        <w:t>https://mcp.opencaselaw.ch/entscheid/bvger_F-7218_2017</w:t>
      </w:r>
    </w:p>
    <w:p>
      <w:r>
        <w:t>FR: TAF F-7218/2017 du 2 juillet 2019</w:t>
      </w:r>
    </w:p>
    <w:p>
      <w:r>
        <w:t>IT: TAF F-7218/2017 del 2 luglio 2019</w:t>
      </w:r>
    </w:p>
    <w:p>
      <w:pPr>
        <w:pStyle w:val="Heading2"/>
      </w:pPr>
      <w:r>
        <w:t>Regeste</w:t>
      </w:r>
    </w:p>
    <w:p>
      <w:r>
        <w:t>Einreiseverbot</w:t>
      </w:r>
    </w:p>
    <w:p>
      <w:pPr>
        <w:pStyle w:val="Heading2"/>
      </w:pPr>
      <w:r>
        <w:t>Erwägungen</w:t>
      </w:r>
    </w:p>
    <w:p>
      <w:r>
        <w:rPr>
          <w:b/>
        </w:rPr>
        <w:t>E. 1</w:t>
      </w:r>
    </w:p>
    <w:p>
      <w:r>
        <w:t>Am 1. Januar 2019 traten die Änderungen der Teilrevision des Ausländergesetzes vom 16. Dezember 2005 (AuG, SR 142.20) in Kraft (siehe Verordnung über die abschliessende Inkraftsetzung der Änderung vom 16. Dezember 2016 des Ausländergesetzes, AS 2018 3171). Die Teilrevision hat unter anderem auch zu einer Änderung des Gesetzestitels geführt. Das AuG wurde in Bundesgesetz über die Ausländerinnen und Ausländer und über die Integration (Ausländer- und Integrationsgesetz, AIG) umbenannt. Die Gesetzesbestimmungen betreffend den vorliegend zu beurteilenden Verfahrensgegenstand des Einreiseverbots haben inhaltlich jedoch keine Änderungen erfahren, weshalb das Gericht in der Folge die neue Gesetzesbezeichnung verwendet (vgl. Urteil des BVGer F-7993/2016 vom 5. März 2019 E. 1 m.H.).</w:t>
      </w:r>
    </w:p>
    <w:p>
      <w:r>
        <w:rPr>
          <w:b/>
        </w:rPr>
        <w:t>E. 2.1</w:t>
      </w:r>
    </w:p>
    <w:p>
      <w:r>
        <w:t>Verfügungen des SEM, die ein Einreiseverbot nach Art. 67 AIG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Erhebung des Rechtsmittels legitimiert (Art. 48 Abs. 1 VwVG). Auf die im Übrigen frist- und formgerecht eingereichte Beschwerde ist somit einzutreten (Art. 50 und 52 VwVG).</w:t>
      </w:r>
    </w:p>
    <w:p>
      <w:r>
        <w:rPr>
          <w:b/>
        </w:rPr>
        <w:t>E. 2.4</w:t>
      </w:r>
    </w:p>
    <w:p>
      <w:r>
        <w:t>Das Bundesverwaltungsgericht entscheidet in der vorliegenden Streitsache endgültig (Art. 83 Bst. c Ziff. 1 BGG).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4.1</w:t>
      </w:r>
    </w:p>
    <w:p>
      <w:r>
        <w:t>Die Vorinstanz kann Einreiseverbote gegen ausländische Personen erlassen, die gegen die öffentliche Sicherheit und Ordnung verstossen haben oder diese gefährden (Art. 67 Abs. 2 Bst. a AIG). Die Regelhöchstdauer des Einreiseverbots von fünf Jahren darf überschritten werden, wenn der Betroffene eine schwerwiegende Gefahr für die öffentliche Sicherheit und Ordnung darstellt (Art. 67 Abs. 3 Satz 2 AIG). Die verfügende Behörde kann ausnahmsweise aus humanitären oder anderen wichtigen Gründen von der Verhängung eines Einreiseverbots absehen oder ein Einreiseverbot endgültig oder vorübergehend aufheben (Art. 67 Abs. 5 AIG).</w:t>
      </w:r>
    </w:p>
    <w:p>
      <w:r>
        <w:rPr>
          <w:b/>
        </w:rPr>
        <w:t>E. 4.2</w:t>
      </w:r>
    </w:p>
    <w:p>
      <w:r>
        <w:t>Das in Art. 67 AIG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Urteil des BVGer F-5323/2014 vom 23. August 2016; zuletzt Urteile des BVGer F-7068/2016 vom 8. November 2018 E. 4.2 m.H.; F-7081/2016 vom 5. Oktober 2018 E. 3.5).</w:t>
      </w:r>
    </w:p>
    <w:p>
      <w:r>
        <w:rPr>
          <w:b/>
        </w:rPr>
        <w:t>E. 4.3</w:t>
      </w:r>
    </w:p>
    <w:p>
      <w:r>
        <w:t>Die in Art. 67 Abs. 3 AIG statuierte Regelhöchstdauer eines Einreiseverbots beträgt fünf Jahre. Stellt die betroffene Person jedoch eine schwerwiegende Gefahr für die öffentliche Sicherheit und Ordnung dar, kann diese Dauer überschritten werden.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der wiederholten Delinquenz und ihrer zunehmenden Schwere oder aus der Abwesenheit einer günstigen Legalprognose (vgl. BGE 139 II 121 E. 6.3; vgl. auch Urteil des BGer 2C_1055/2017 vom 31. Januar 2018 E. 3.1; BVGE 2013/4 E. 7.2.4; Urteil des BVGer F-6284/2017 vom 20. Dezember 2018 E. 4.4 m.H.).</w:t>
      </w:r>
    </w:p>
    <w:p>
      <w:r>
        <w:rPr>
          <w:b/>
        </w:rPr>
        <w:t>E. 5</w:t>
      </w:r>
    </w:p>
    <w:p>
      <w:r>
        <w:t>Die Vorinstanz stützte sich beim Erlass der angefochtenen Verfügung in erster Linie auf die strafrechtliche Verurteilung des Beschwerdeführers zu einer fünfjährigen Freiheitsstrafe durch das "Tribunal correctionnel d'arrondissement de l'Est vaudois" vom 18. April 2011 wegen qualifizierter Widerhandlung gegen das Betäubungsmittelgesetz. Dem Beschwerdeführer wurde von den Strafbehörden vorgeworfen, während fast eines Jahres beim Handel mit Heroin im Kilobereich tätig gewesen zu sein und eine nicht unerhebliche Rolle bei einem organisierten Drogenhandel gespielt zu haben. Es steht ausser Frage, dass er damit erheblich gegen die öffentliche Sicherheit und Ordnung verstossen und damit unter dem Gesichtspunkt von Art. 67 Abs. 2 Bst. a AIG hinreichenden Anlass für die Verhängung eines Einreiseverbots gegeben hat. Dass er mit seinem deliktischen Verhalten eine schwerwiegende Gefahr für die öffentliche Sicherheit und Ordnung im Sinne von Art. 67 Abs. 3 Satz 2 AIG darstellt, die ein über fünfjähriges Einreiseverbot rechtfertigt, wird vom Beschwerdeführer, der selber eine höchstens siebenjährige Fernhaltemassnahme beantragt, im Grundsatz nicht bestritten, weshalb sich in diesem Zusammenhang weitere Ausführungen dazu erübrigen. Seine Einwendungen, insbesondere der Hinweis, bei ihm handle es sich nicht um einen Wiederholungstäter, wie die Vor-instanz mit ihrem Hinweis auf seine (zweite) Verurteilung wegen einfacher Körperverletzung anzunehmen scheint, beziehen sich denn auch primär auf die Verhältnismässigkeit der angefochtenen Massnahme und werden nachfolgend geprüft (vgl. E. 6 hiernach).</w:t>
      </w:r>
    </w:p>
    <w:p>
      <w:r>
        <w:rPr>
          <w:b/>
        </w:rPr>
        <w:t>E. 6.1</w:t>
      </w:r>
    </w:p>
    <w:p>
      <w:r>
        <w:t>Es bleibt folglich zu prüfen, ob das auf 20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6.2</w:t>
      </w:r>
    </w:p>
    <w:p>
      <w:r>
        <w:t>Aufgrund der schwerwiegenden Gefahr für die öffentliche Sicherheit und Ordnung ist ohne weiteres von einem grossen öffentlichen Fernhalte-interesse auszugehen (vgl. BVGE 2013/4 E. 5.2 und 7.2). Das Hauptaugenmerk der Massnahme liegt in ihrer spezialpräventiven Zielsetzung. Das Einreiseverbot soll weiteren Straftaten des Beschwerdeführers in der Schweiz und im Schengen-Raum entgegenwirken und ihn überdies dazu anhalten, bei einer allfälligen künftigen Wiedereinreise nach Ablauf des Einreiseverbots keine weiteren Verstösse gegen die öffentliche Ordnung und Sicherheit zu begehen. Gewichtig ist sodann das generalpräventive Interesse, die öffentliche Sicherheit durch eine konsequente Massnahmenpraxis zu schützen (vgl. BVGE 2014/20 E. 8.2 m.H.)</w:t>
      </w:r>
    </w:p>
    <w:p>
      <w:r>
        <w:rPr>
          <w:b/>
        </w:rPr>
        <w:t>E. 6.3</w:t>
      </w:r>
    </w:p>
    <w:p>
      <w:r>
        <w:t>Der Beschwerdeführer macht geltend, dass es sich bei ihm um einen Ersttäter und nicht um einen Wiederholungstäter handle. Dieser Rechtsauffassung ist zuzustimmen, ergibt sich doch aus den Vorakten, dass er zwar im Jahre 2011 wegen Drogenhandels zu einer mehrjährigen Freiheitsstrafe verurteilt worden war, ein knappes Jahr später jedoch "lediglich" wegen einer tätlichen Auseinandersetzung mit einem Mitgefangenen im Strafvollzug wegen einfacher Körperverletzung zu einer bedingten Geldstrafe sowie einer Busse verurteilt wurde. Damit handelt es sich bei ihm einerseits nicht um einen Wiederholungstäter im Sinne der strafrechtlichen Terminologie. Zum andern scheint die Vorinstanz in diesem Zusammenhang zu verkennen, dass gemäss der mit BVGE 2014/20 begründeten Praxis die Verbotsdauer von Fernhaltemassnahmen in Fällen, bei denen von einer schwerwiegenden Gefahr gemäss Art. 67 Abs. 3 AuG auszugehen ist, bis maximal 15 Jahre betragen kann. Von einem "Wiederholungsfall", der allenfalls ein Einreiseverbot von 20 Jahren rechtfertigen könnte, wäre - analog der auf den 1. Oktober 2016 in Kraft getretenen Strafbestimmung zur Landesverweisung, wonach die neue Landesverweisung auf 20 Jahre auszusprechen ist, sofern der Straftäter nach einer ersten Landesverweisung eine neue Straftat begeht, die wiederum eine Landesverweisung zur Folge hat (vgl. insb. Art. 66b Abs. 1 StGB) - allenfalls dann auszugehen, wenn gegen die betroffene Person bereits früher einmal eine Wegweisung/Landesverweisung bzw. ein Einreiseverbot verhängt worden wäre. Dies trifft jedoch in casu nicht zu (zum Begriff des "Wiederholungsfalls" ausführlich Urteil des BVGer F-2195/2017 vom 26. Juli 2018 E. 6.1.1 - 6.1.4; vgl. auch Urteile des BVGer F-5352/2014 vom 22. März 2017 E. 8.1.1, F-1601/2015 vom 28. November 2016 E. 7.1 sowie bereits C-1542/2015 vom 27. Januar 2016 E. 6.4.1 m.H.; vgl. auch Peter Bolzli, Unbefristete Einreiseverbote nicht mehr zulässig, in: dRSK, publiziert am 6. Oktober 2014, N. 20 f.).</w:t>
      </w:r>
    </w:p>
    <w:p>
      <w:r>
        <w:rPr>
          <w:b/>
        </w:rPr>
        <w:t>E. 6.4</w:t>
      </w:r>
    </w:p>
    <w:p>
      <w:r>
        <w:t>Den öffentlichen Interessen sind die privaten Interessen des Betroffenen gegenüberzustellen. In diesem Zusammenhang bringt der Beschwerdeführer lediglich vor, es sei ihm ein Anliegen, gelegentlich in den Schengen-Raum zu reisen, um (nicht näher bezeichnete) Familienangehörige, Freunde und Bekannte zu besuchen oder hier die Ferien zu verbringen.</w:t>
      </w:r>
    </w:p>
    <w:p>
      <w:r>
        <w:rPr>
          <w:b/>
        </w:rPr>
        <w:t>E. 6.5</w:t>
      </w:r>
    </w:p>
    <w:p>
      <w:r>
        <w:t>Zusammenfassend führt die Gegenüberstellung des erheblichen öffentlichen Interesses an der Fernhaltung des Beschwerdeführers bzw. an ausschliesslich kontrollierten Einreisen und dem privaten Interesse das Gericht zum Schluss, dass das öffentliche Interesse deutlich überwiegt. In Würdigung aller Umstände, insbesondere in Berücksichtigung der Tatsache, dass die ins Gewicht fallenden strafbaren Handlungen (Drogenhandel) fast zehn Jahre zurückliegen und sich der Beschwerdeführer seither - mit Ausnahme der erwähnten tätlichen Auseinandersetzung mit einem Mithäftling im Strafvollzug - wohlverhalten hat, ist das Einreiseverbot auf die Dauer von 12 Jahren festzulegen.</w:t>
      </w:r>
    </w:p>
    <w:p>
      <w:r>
        <w:rPr>
          <w:b/>
        </w:rPr>
        <w:t>E. 7</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 Nicht zu beanstanden ist deshalb die bereits mit Verfügung vom 10. Oktober 2014 bewirkte Ausschreibung des Beschwerdeführers im SIS, welche unverändert für die Dauer des nunmehr auf zwölf Jahre befristeten Einreiseverbots weiterhin Geltung hat. Mit Verweis auf die vorangegangenen Ausführungen ist ein überwiegendes öffentliches Interesse nicht nur der Schweiz, sondern sämtlicher Schengen-Staaten an der längerfristigen Fernhaltung des Beschwerdeführers gegeben.</w:t>
      </w:r>
    </w:p>
    <w:p>
      <w:r>
        <w:rPr>
          <w:b/>
        </w:rPr>
        <w:t>E. 8</w:t>
      </w:r>
    </w:p>
    <w:p>
      <w:r>
        <w:t>Die in der angefochtenen Verfügung festgelegte Dauer des Einreiseverbots verletzt Bundesrecht, soweit sie über 12 Jahre hinausgeht (Art. 49 VwVG). Mit der Festlegung der Dauer des Einreiseverbots auf 12 Jahre wird dem Antrag des Beschwerdeführers teilweise entsprochen, so dass die Beschwerde teilweise gutzuheissen ist.</w:t>
      </w:r>
    </w:p>
    <w:p>
      <w:r>
        <w:rPr>
          <w:b/>
        </w:rPr>
        <w:t>E. 9</w:t>
      </w:r>
    </w:p>
    <w:p>
      <w:r>
        <w:t>Die ermässigten Verfahrenskosten sind bei diesem Verfahrensausgang dem Beschwerdeführer aufzuerlegen (vgl. Art. 63 Abs. 1 VwVG sowie Art. 1 ff. des Reglements über die Kosten und Entschädigungen vor dem Bundesverwaltungsgericht vom 21. Februar 2008 [VGKE, SR 173.320.2]). Im Umfang seines Obsiegens ist ihm sodann eine gekürzte Parteientschädigung zuzusprechen. Eine Honorarnote wurde nicht eingereicht. Die Festsetzung der Höhe der Entschädigung erfolgt in Berücksichtigung des notwendigen und anrechenbaren Aufwands sowie der Praxis in vergleichbaren Fällen (vgl.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