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F-7192/2024 vom 21. November 2024</w:t>
      </w:r>
    </w:p>
    <w:p>
      <w:r>
        <w:t>Bundesverwaltungsgericht, 2024-11-21, DE</w:t>
      </w:r>
    </w:p>
    <w:p>
      <w:r>
        <w:rPr>
          <w:b/>
        </w:rPr>
        <w:t xml:space="preserve">Quelle: </w:t>
      </w:r>
      <w:r>
        <w:t>https://mcp.opencaselaw.ch/entscheid/bvger_F-7192_2024</w:t>
      </w:r>
    </w:p>
    <w:p>
      <w:r>
        <w:t>FR: TAF F-7192/2024 du 21 novembre 2024</w:t>
      </w:r>
    </w:p>
    <w:p>
      <w:r>
        <w:t>IT: TAF F-7192/2024 del 21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Der Beschwerdeführer beantragt die Ansetzung einer Nachfrist zur Beschwerdeergänzung gemäss Art. 53 VwVG. Zur Begründung führt er an, sein Rechtsanwalt sei derzeit ferienabwesend.</w:t>
      </w:r>
    </w:p>
    <w:p>
      <w:r>
        <w:rPr>
          <w:b/>
        </w:rPr>
        <w:t>E. 2.2</w:t>
      </w:r>
    </w:p>
    <w:p>
      <w:r>
        <w:t>Am 12. November 2024 legte die dem Beschwerdeführer für das Asylverfahren zugewiesene Rechtsvertretung das Mandat nieder. Für den Umstand, dass der Beschwerdeführer inzwischen allenfalls eine neue Rechtsvertretung mandatiert hat, bleibt er jeglichen Beweis schuldig, zumal er keine Angaben zu besagtem Rechtsanwalt macht. Ungeachtet dessen hatte er trotz der kurzen Beschwerdefrist offensichtlich genügend Zeit um eine einlässlich begründete und mit Rechtsbegehren versehene Beschwerde einzureichen. Er hatte sodann anlässlich des Dublin-Gesprächs die Gelegenheit, allfällige Gründe, die gegen eine Wegweisung nach Kroatien sprechen würden, vorzubringen. Hinzu kommt, dass die vorliegende Streitsache weder einen aussergewöhnlichen Umfang noch eine besondere Komplexität aufweist. Es besteht deshalb - gerade auch im Lichte des Beschleunigungsgebots (Art. 29 Abs. 1 BV; Art. 109 Abs. 3 AsylG) - kein Anlass, ihm eine Frist zur Ergänzung der Beschwerde zu gewähren. Eine Beschwerdeergänzung ist sodann bis dato nicht beim Gericht eingegangen. Der entsprechende Antrag ist abzuweisen.</w:t>
      </w:r>
    </w:p>
    <w:p>
      <w:r>
        <w:rPr>
          <w:b/>
        </w:rPr>
        <w:t>E. 3.1</w:t>
      </w:r>
    </w:p>
    <w:p>
      <w:r>
        <w:t>Die Vorinstanz hat korrekt erwogen, dass gemäss Art. 20 Abs. 5 Dublin-III-VO grundsätzlich Kroatien für die Behandlung des Asylgesuchs des Beschwerdeführers zuständig ist, dass das kroatische Asylsystem rechtsprechungsgemäss keine systemischen Schwachstellen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Dabei hat sie insbesondere die Vorbringen des Beschwerdeführers im Hinblick auf das geltend gemachte Fehlverhalten einzelner kroatischer Sicherheitskräfte berücksichtigt und rechtsprechungskonform gewürdigt (vgl. jüngst Urteile des BVGer F-5644/2024 vom 1. Oktober 2024 E. 5.2; E-5359/2024 vom 4. September 2024 E. 6.2). Die Vorinstanz hat in rechtsfehlerfreier Ausübung des ihr nach Art. 17 Abs. 1 Dublin-III-VO und Art. 29a Abs. 3 der Asylverordnung 1 vom 11. August 1999 (AsylV 1, SR 142.311) zukommenden Ermessens von einem Selbsteintritt der Schweiz abgesehen. Sie durfte in Anwendung von Art. 31a Abs. 1 Bst. b AsylG zulässigerweise auf das Asylgesuch des Beschwerdeführers nicht eintreten und hat in Anwendung von Art. 44 AsylG seine Wegweisung nach Kroatien angeordnet. Zur näheren Begründung wird auf die zutreffenden Erwägungen der Vorinstanz verwiesen.</w:t>
      </w:r>
    </w:p>
    <w:p>
      <w:r>
        <w:rPr>
          <w:b/>
        </w:rPr>
        <w:t>E. 3.2</w:t>
      </w:r>
    </w:p>
    <w:p>
      <w:r>
        <w:t>Was der Beschwerdeführer auf Rechtsmittelebene vorbringt, vermag an der Richtigkeit der angefochtenen Verfügung nichts zu ändern. Die in der Beschwerde zitierten Berichte betreffend die Situation von Asylsuchenden in Kroatien vermögen nichts daran zu ändern, dass das kroatische Asylsystem rechtsprechungsgemäss keine systemischen Schwachstellen aufweist und insgesamt davon auszugehen ist, dass Gesuchstellende, die gestützt auf die Dublin-III-VO nach Kroatien überstellt werden, Zugang zum dortigen Asylverfahren haben (siehe E. 3.1 hiervor). Bei dieser Sachlage erübrigen sich Weiterungen zur geltend gemachten Gefahr einer allfälligen Kettenabschiebung (siehe einlässlich dazu Urteil des EuGH vom 30. November 2023, verbundene Rechtssachen C-228/21, C-254/21, C-297/21, C-315/21 und C-328/21, §§ 129-142 und Ziff. 2 des Dispositivs). Im Weiteren ist in Bezug auf die Vorbringen betreffend angebliche Misshandlungen in Kroatien anzumerken, dass Kroatien Signatarstaat der EMRK und des Übereinkommens vom 10. Dezember 1984 gegen Folter und andere grausame, unmenschliche oder erniedrigende Behandlung oder Strafe (FoK, SR 0.105) ist und die diesbezüglichen völkerrechtlichen Verpflichtungen zu beachten hat. Die vom Beschwerdeführer bei seiner Einreise nach Kroatien geltend gemachten Vorkommnisse (Gewaltanwendung durch Polizeibeamte, katastrophale bzw. unhygienische Unterbringungsbedingungen) lassen nicht den Schluss zu, er hätte bei einer Überstellung nach Kroatien mit hoher Wahrscheinlichkeit eine unmenschliche oder erniedrigende Behandlung im Sinne von Art. 3 EMRK zu gewärtigen. Sollte er nach seiner Rückkehr von Behördenvertretern rechtswidrig behandelt werden, hat er sich - gegebenenfalls auf dem Rechtsweg - an die kroatischen 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4</w:t>
      </w:r>
    </w:p>
    <w:p>
      <w:r>
        <w:t>Nach dem Gesagten ist die angefochtene Verfügung nicht zu beanstanden (Art. 106 AsylG) und die Beschwerde ist abzuweisen. Für die beantragte Rückweisung der Sache an die Vorinstanz besteht keinerlei Veranlassung. Mit dem vorliegenden Urteil fällt der am 18. November 2024 angeordnete Vollzugsstopp dahin. Das Gesuch um Erteilung der aufschiebenden Wirkung ist mit heutigem Entscheid gegenstandslos geworden.</w:t>
      </w:r>
    </w:p>
    <w:p>
      <w:r>
        <w:rPr>
          <w:b/>
        </w:rPr>
        <w:t>E. 5</w:t>
      </w:r>
    </w:p>
    <w:p>
      <w:r>
        <w:t>Das Gesuch um Gewährung der unentgeltlichen Prozessführung (Art. 65 Abs. 1 und 2 VwVG) ist abzuweisen, da die Begehren - wie sich aus den vorstehenden Erwägungen ergibt - von vornherein als aussichtslos zu bezeichnen waren. Entsprechend sind die Verfahrenskosten dem unterliegenden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