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F-7188/2015 vom 12. Juli 2016</w:t>
      </w:r>
    </w:p>
    <w:p>
      <w:r>
        <w:t>Bundesverwaltungsgericht, 2016-07-12, DE</w:t>
      </w:r>
    </w:p>
    <w:p>
      <w:r>
        <w:rPr>
          <w:b/>
        </w:rPr>
        <w:t xml:space="preserve">Quelle: </w:t>
      </w:r>
      <w:r>
        <w:t>https://mcp.opencaselaw.ch/entscheid/bvger_F-7188_2015</w:t>
      </w:r>
    </w:p>
    <w:p>
      <w:r>
        <w:t>FR: TAF F-7188/2015 du 12 juillet 2016</w:t>
      </w:r>
    </w:p>
    <w:p>
      <w:r>
        <w:t>IT: TAF F-7188/2015 del 12 luglio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der Gesuchstellerin und Einsprecher zur Beschwerde legitimiert (Art. 48 Abs. 1 VwVG). Auf die frist- und formgerecht eingereichte Beschwerde ist einzutreten (vgl. Art. 50 und 52 VwVG).</w:t>
      </w:r>
    </w:p>
    <w:p>
      <w:r>
        <w:rPr>
          <w:b/>
        </w:rPr>
        <w:t>E. 1.3</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Der Beschwerdeführer macht in formeller Hinsicht eine Verletzung des rechtlichen Gehörs, namentlich der Begründungspflicht, geltend. Obwohl die Gesuchstellerin im westlichen Colombo lebe, habe die Vorinstanz mit der allgemeinen wirtschaftlichen Lage im Norden und Osten argumentiert und sich mit den konkreten Verhältnissen der Gesuchstellerin nur pauschal auseinandergesetzt.</w:t>
      </w:r>
    </w:p>
    <w:p>
      <w:r>
        <w:rPr>
          <w:b/>
        </w:rPr>
        <w:t>E. 3.2</w:t>
      </w:r>
    </w:p>
    <w:p>
      <w:r>
        <w:t>Der Anspruch auf rechtliches Gehör (Art. 29 Abs. 2 BV; Art. 29 ff. VwVG) dient der Sachaufklärung und stellt gleichzeitig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 Art. 32 Abs. 1 VwVG). Bei Verfahren, welche auf Antrag der Partei eingeleitet werden, ist die Untersuchungsmaxime durch die Mitwirkungspflicht nach Art. 13 VwVG eingeschränkt. Die gesuchstellende Partei ist diesfalls lediglich in Fällen anzuhören, bei denen der Antrag aus Gründen abgewiesen werden soll, die ihr nicht bekannt sind (Patrick Sutter, in: Kommentar zum Bundesgesetz über das Verwaltungsverfahren [VwVG], 2008, Art. 30 Rz. 7). Die Begründungspflicht (Art. 35 VwVG) dient schlussendlich der rationalen und transparenten Entscheidfindung und soll dem Adressaten erlauben, einen Entscheid entweder zu akzeptieren oder sachgerecht anzufechten. Die Behörde hat die wesentlichen Überlegungen zu nennen, von denen sie sich leiten liess (vgl. BGE 139 V 496 E. 5.1; 137 II 266 E. 3.2 m.H.; 136 I 229 E. 5.2; BVGE 2012/24 E. 3.2, vgl. Urteile des BVGer C 6239/2015 vom 4. März 2016 E. 4 sowie C-7167/2013 vom 30. Januar 2015 E. 3.2 u. 3.3).</w:t>
      </w:r>
    </w:p>
    <w:p>
      <w:r>
        <w:rPr>
          <w:b/>
        </w:rPr>
        <w:t>E. 3.3</w:t>
      </w:r>
    </w:p>
    <w:p>
      <w:r>
        <w:t>Die Vorinstanz geht auf Seite drei ihrer Verfügung auf die Verhältnisse des vorliegenden Einzelfalls ein, wobei die wesentlichen - wenn auch eher knapp gehaltenen - Überlegungen, welche zur Ablehnung der Einsprache führten, ersichtlich sind. Diese Ausführungen erlaubten es dem Beschwerdeführer folglich, den zentralen Grund für die Abweisung zu erkennen (nicht gesicherte Wiederauseise infolge fehlender starker Bindungen an den Heimatstaat) und dagegen sachgerechte Einwände vorzubringen (vgl. dazu beispielsweise das Urteil des BVGer C 6239/2015 vom 4. März 2016 E. 4.3 am Ende). Entgegen der Auffassung des Beschwerdeführers kann aus den Darlegungen der Vorinstanz zudem nicht gefolgert werden, dass diese von einer falschen geographischen Situierung der Gesuchstellerin ausgegangen ist, zumal sich das SEM zur politischen, wirtschaftlichen und gesellschaftlichen Lage in Sri Lanka ganz allgemein äussert. Inwiefern diese Ausführungen als korrekt zu erachten sind, ist im Rahmen der materiellen Prüfung zu klären (vgl. Urteil des BVGer C 4868/2015 vom 19. November 2015 E. 5.4).</w:t>
      </w:r>
    </w:p>
    <w:p>
      <w:r>
        <w:rPr>
          <w:b/>
        </w:rPr>
        <w:t>E. 3.4</w:t>
      </w:r>
    </w:p>
    <w:p>
      <w:r>
        <w:t>Eine Verletzung des rechtlichen Gehörs ist im vorliegenden Fall demgemäss nicht gegeben, weshalb nachfolgend die Zulässigkeit der Verfügung mit Blick auf das materielle Recht zu prüfen ist.</w:t>
      </w:r>
    </w:p>
    <w:p>
      <w:r>
        <w:rPr>
          <w:b/>
        </w:rPr>
        <w:t>E. 4</w:t>
      </w:r>
    </w:p>
    <w:p>
      <w:r>
        <w:t>Die angefochtene Verfügung hat das Visumgesuch einer sri-lankischen Staatsangehörigen zwecks dreimonatigen Besuchsaufenthaltes in der Schweiz zum Gegenstand.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5</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rechtstaatlichen Handelns, namentlich der Rechtsgleichheit und Willkürfreiheit - ein weiter Beurteilungsspielraum zukommt (eingehend zur Auslegung von Art. 12 Abs. 1 i.V.m. Art. 2 VEV und Art. 6 SGK; BVGE 2014/1 E. 4.1.4 und 4.1.5). Ein Anspruch auf Einreise bzw. Visum vermittelt auch das Schengen-Recht nicht (vgl. BVGE 2014/1 E. 4.1.5 m.H.).</w:t>
      </w:r>
    </w:p>
    <w:p>
      <w:r>
        <w:rPr>
          <w:b/>
        </w:rPr>
        <w:t>E. 6.1</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6.2</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können (Art. 5 Abs. 2 AuG, Art. 14 Abs. 1 Bst. d und Art. 21 Abs. 1 Visakodex; vgl. dazu Egli / Meyer, in: Caroni/Gächter/Turnherr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6.3</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6.4</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zur Definition "Visum mit räumlich beschränkter Gültigkeit" Art. 2 Ziff. 4 Visakodex).</w:t>
      </w:r>
    </w:p>
    <w:p>
      <w:r>
        <w:rPr>
          <w:b/>
        </w:rPr>
        <w:t>E. 7.1</w:t>
      </w:r>
    </w:p>
    <w:p>
      <w:r>
        <w:t>Gemäss Anhang I EG Nr. 539/2001 gehört Sri Lanka zu jenen Drittstaaten, deren Staatsangehörige beim Überschreiten der Aussengrenzen der Schengen Mitgliedstaaten im Besitze eines Visums sein müssen. Die Gesuchstellerin unterliegt aufgrund ihrer sri-lankischen Staatsangehörigkeit folglich der Visumspflicht. Bei der Prüfung der entsprechenden Voraussetzungen nach Art. 6 Abs. 1 SGK zur Erteilung eines Visums steht insbesondere die Frage der gesicherten Wiederausreise im Vordergrund.</w:t>
      </w:r>
    </w:p>
    <w:p>
      <w:r>
        <w:rPr>
          <w:b/>
        </w:rPr>
        <w:t>E. 7.2</w:t>
      </w:r>
    </w:p>
    <w:p>
      <w:r>
        <w:t>Anhaltspunkte zur Beurteilung einer Gewähr für die fristgerechte und anstandslose Wiederausreise können sich zunächst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7.2.1</w:t>
      </w:r>
    </w:p>
    <w:p>
      <w:r>
        <w:t>Die Gesuchstellerin lebt zusammen mit ihrer erwachsenen Tochter in Colombo, der Hauptstadt Sri Lankas. Sie ist Sri Lanka Tamilin (vgl. z.B. Vorakten des SEM [nachfolgend: SEM act.] 3/48) und gehört damit der grössten Minderheit von Sri Lanka an. Seit Ende des langjährigen Bürgerkriegs im Jahr 2009, welcher vorwiegend den Norden und Osten des Landes betraf, hat sich die Sicherheitslage in Sri Lanka stabilisiert. Die Menschenrechtslage ist jedoch nach wie vor problematisch und die politische Situation kann noch nicht als stabil eingestuft werden. In wirtschaftlicher Hinsicht gilt Sri Lanka gemäss Weltbank-Klassifikation als "Lower Middle Income Country"; im als Wohlstandsindikator zu berücksichtigenden UN-Index der menschlichen Entwicklung (HDI) 2014 belegt Sri Lanka die Position 73 von 188 Ländern. Das Bruttoinlandsprodukt (BIP) betrug im Jahr 2015 81.1 Mrd. USD (3.92 USD/Kopf). Dies stellt gegenüber dem Vorjahr ein reales Wachstum von 2,9% dar. Die Arbeitslosigkeit liegt bei ca. 4,2%, ist also relativ tief, wobei - wie bei den Einkommen - ein grosses regionales bzw. ein Stadt/Land-Gefälle existiert. Etwa die Hälfte der gesamten Wirtschaftsleistung des Landes ist auf die Region um Colombo konzentriert. Insbesondere bei der Landbevölkerung ist dagegen Armut weiterhin verbreitet (Quellen: Webseite des deutschen Auswärtigen Amtes: www.auswaertiges-amt.de, Aussen- und Europapolitik Länderinformationen Sri Lanka Wirtschaft, Stand: Februar 2016, besucht im Juni 2016, sowie Webseite des United Nations Development Programme: http://hdr.undp.org HDR Report 2015, besucht im Juni 2016; Urteil des BVGer C 6274/2014 vom 11. Februar 2016 E. 5.3.1 m.H.).</w:t>
      </w:r>
    </w:p>
    <w:p>
      <w:r>
        <w:rPr>
          <w:b/>
        </w:rPr>
        <w:t>E. 7.2.2</w:t>
      </w:r>
    </w:p>
    <w:p>
      <w:r>
        <w:t>Nebst ihrer mittlerweile 31-jährigen Tochter, welche mit der Gesuchstellerin in Colombo im gleichen Haushalt wohnt, hat die Gesuchstellerin vier im Ausland lebende erwachsene Söhne: Der Beschwerdeführer ist in der Schweiz wohnhaft und verfügt über das schweizerische Bürgerrecht, zwei weitere Söhne leben in Kanada und einer in London (vgl. SEM act. 3/92). Die Gesuchstellerin hat somit - wie die Vorinstanz richtig festhielt - deutlich mehr nahe Verwandte und somit ein stärkeres Beziehungsnetz im Ausland als in ihrem Heimatstaat. Hierfür spricht ebenfalls, dass die Beziehungen, zumindest jene zum Beschwerdeführer, auch tatsächlich intensiv gepflegt werden (vgl. zu den täglichen Telefonaten SEM act. 3/92).</w:t>
      </w:r>
    </w:p>
    <w:p>
      <w:r>
        <w:rPr>
          <w:b/>
        </w:rPr>
        <w:t>E. 7.2.3</w:t>
      </w:r>
    </w:p>
    <w:p>
      <w:r>
        <w:t>Die von der Vorinstanz dargetane Annahme eines allgemein hohen Risikos bezüglich einer nicht fristgerechten Wiederausreise aufgrund der politischen und wirtschaftlichen Lage in Sri Lanka ist nicht zu beanstanden. Sie wird zusätzlich bekräftigt, da vier von fünf Kindern der Gesuchstellerin im Ausland leben und dadurch die Bereitschaft, das Land auf Dauer zu verlassen, erfahrungsgemäss begünstigt werden kann. Dieses allgemeine Risiko ist jedoch insofern zu relativieren, als die Gesuchstellerin weder auf dem Land noch in den ehemaligen Konfliktgebieten im Norden und Osten des Landes, sondern in der wirtschaftsstarken Hauptstadt Colombo lebt (vgl. Urteil des BVGer C-6274/2014 vom 11. Februar 2016 E. 5.3.2).</w:t>
      </w:r>
    </w:p>
    <w:p>
      <w:r>
        <w:rPr>
          <w:b/>
        </w:rPr>
        <w:t>E. 7.3</w:t>
      </w:r>
    </w:p>
    <w:p>
      <w:r>
        <w:t>Bei der Risikoanalyse sind neben allgemeinen Umständen und Erfahrungen sämtliche Gesichtspunkte des konkreten Einzelfalls zu berücksichtigen. Beispielsweise können besondere berufliche, gesellschaftliche oder familiäre Verantwortungen im Heimatland die Prognose für eine anstandslose Wiederausreise begünstigen.</w:t>
      </w:r>
    </w:p>
    <w:p>
      <w:r>
        <w:rPr>
          <w:b/>
        </w:rPr>
        <w:t>E. 7.3.1</w:t>
      </w:r>
    </w:p>
    <w:p>
      <w:r>
        <w:t>Gemäss Akten ist die Gesuchstellerin verwitwet und Hausfrau. Ihr Ehemann verstarb im Jahre 2004 in Deutschland, wohin er 1991 ausgereist war (vgl. SEM act. 3/43 f., 3/95). Ein Visumsantrag der Gesuchstellerin für die Schweiz im Jahre 2005/2006 sowie für Deutschland im Jahre 2011 wurde jeweils abgewiesen (vgl. SEM act. 3/91, 95 f.; vgl. demgegenüber Urteil des BVGer 6274/2014 vom 11. Februar 2016 E. 6.3).</w:t>
      </w:r>
    </w:p>
    <w:p>
      <w:r>
        <w:rPr>
          <w:b/>
        </w:rPr>
        <w:t>E. 7.3.2</w:t>
      </w:r>
    </w:p>
    <w:p>
      <w:r>
        <w:t>Das einzige Kind, das in Sri Lanka geblieben ist, ist die 1985 geborene Tochter. Aus Sicht der Gesuchstellerin bietet ihre Beziehung zur Tochter Gewähr für eine fristgerechte Wiederausreise. Alleinstehende Frauen seien der Gefahr sexueller Übergriffe ausgesetzt, und die Gesuchstellerin sei die Hauptbezugsperson. Dieses Vorbringen überzeugt jedoch nicht. Falls eine solche Gefahr tatsächlich unmittelbar drohte, würde sie selbst durch eine kurzfristige Abwesenheit der Mutter erhöht. Zudem erscheint es als wahrscheinlich, dass die 31 jährige Tochter in der Lage ist, selbständig in Sri Lanka zu leben. Das Zurücklassen der Tochter in Colombo lässt damit für sich allein nicht auf eine gesicherte Wiederausreise schliessen. Im Übrigen werden vom Beschwerdeführer resp. von der Gesuchstellerin keine anderweitigen gesellschaftlichen oder familiären Verpflichtungen im Heimatland nachgewiesen, was durchaus für ein erhöhtes Migrationsrisiko spricht. Der Hinweis, wonach die Gesuchstellerin weder mit der Sprache noch der Mentalität der Schweiz vertraut ist, vermag am genannten Risiko ebenfalls nichts zu ändern. Bereits eine Vielzahl auch älterer Personen aus Sri Lanka ist in die Schweiz immigriert und hat sich an die hiesigen Gegebenheiten gewöhnt (vgl. Urteil des BVGer C 3870/2013 vom 28. Mai 2014 E. 7.3.3).</w:t>
      </w:r>
    </w:p>
    <w:p>
      <w:r>
        <w:rPr>
          <w:b/>
        </w:rPr>
        <w:t>E. 7.3.3</w:t>
      </w:r>
    </w:p>
    <w:p>
      <w:r>
        <w:t>In finanzieller Hinsicht verfügt die Gesuchstellerin gemäss Aktenlage über Eigentum in Höhe von insgesamt 22'000'000.- Sri Lanka Rupien (nachfolgend: LKR; vgl. SEM act. 3/17), was in etwa Fr. 145'000.- entspricht (Stand Währungsrechnung: 20. Juni 2016). Ihr Kontostand belief sich per 4. Juni 2015 auf LKR 302'232.- (SEM act. 3/23) und als monatliche Einnahmen sind LKR 25'000.- aus der Vermietung der Hälfte eines Zweifamilienhauses ausgewiesen (vgl. SEM act. 3/25, 93, 90). Unbestrittenermassen verfügt die Gesuchstellerin somit über für sri-lankische Verhältnisse hohe gebundene finanzielle Mittel in Form von Immobilien und Land. Hinsichtlich der Liquidität, namentlich der Einkünfte, ist - wie die Schweizerische Botschaft in Colombo ebenfalls festhielt (vgl. SEM act. 3/96) - jedoch auffallend, dass der Kontostand zwischen Februar und Mai 2015 einen Stand von rund LKR 7'000.- aufwies. Kurz vor Einreichung des Visumantrages wurden sodann Beträge in Höhe von LKR 170'000.- (3. Juni 2015) und LKR 125'000.- (4. Juni 2015) zu Gunsten der Gesuchstellerin überwiesen (vgl. SEM act. 3/19 f.). In seiner Einsprache vom 29. Juni 2015 hielt der Beschwerdeführer ausserdem fest, dass die Gesuchstellerin über ein Einkommen von ca. Fr. 250.- pro Monat verfüge (vgl. SEM act. 1/8). Demgegenüber macht er in seiner Rechtsmitteleingabe vom 9. November 2015 geltend, dass sich das monatliche Einkommen auf ca. Fr. 400.- belaufe (vgl. BVGer act. 1/Art. 6 Beschwerdeschrift). Die Gesuchstellerin selbst gab in ihrem Visumsantrag lediglich ein Einkommen von LKR 25'000.- (ca. Fr. 165.-) an. Diese unklaren, teils widersprüchlichen und nicht nachvollziehbaren Angaben wurden vom Beschwerdeführer im vorliegenden Verfahren nicht näher begründet oder berichtigt. Die effektiven monatlichen Einnahmen können zudem aufgrund der Aktenlage nicht näher bestimmt werden. Allein die Tatsache, dass die Gesuchstellerin Eigentum in Form von Immobilien und Ländereien besitzt, bietet im Übrigen keine Gewähr für eine fristgerechte Wiederausreise (vgl. ähnlich das Urteil des BVGer C 4636/2015 vom 18. April 2016 E. 6.2). Hinzu kommt, dass die Gesuchstellerin keinerlei berufliche Verpflichtungen in Sri Lanka nachweisen kann, die Rückschlüsse auf eine gesicherte Rückkehr in den Heimatstaat zulassen könnten.</w:t>
      </w:r>
    </w:p>
    <w:p>
      <w:r>
        <w:rPr>
          <w:b/>
        </w:rPr>
        <w:t>E. 7.3.4</w:t>
      </w:r>
    </w:p>
    <w:p>
      <w:r>
        <w:t>Obwohl ein Gastgeber für ein gewisses finanzielles Risiko garantieren kann und der Wunsch des Beschwerdeführers, seine Mutter in die Schweiz einzuladen, durchaus nachvollziehbar ist, so ist es ihm nicht möglich, für das Verhalten seines Gastes in der Schweiz zu bürgen (vgl. Urteil des BVGer C-4868/2015 vom 19. November 2015 E. 7.3; BVGE 2014/1 E. 6.3.7 m.H.). Die Bonität des Gastgebers sowie dessen Versicherung der fristgerechten Wiederausreise der Gesuchstellerin sind lediglich ein Element der gesamten Risikoabwägung. Vorliegend vermögen die Zusicherungen des Beschwerdeführers das vorgängig beschriebene erhöhte Migrationsrisiko angesichts der persönlichen Umstände der Gesuchstellerin (fehlende familiäre, gesellschaftliche und berufliche Verpflichtungen im Heimatland sowie unklare finanzielle Verhältnisse; vgl. dazu E. 7.3.1 - 7.3.3) jedoch nicht zu relativieren.</w:t>
      </w:r>
    </w:p>
    <w:p>
      <w:r>
        <w:rPr>
          <w:b/>
        </w:rPr>
        <w:t>E. 8</w:t>
      </w:r>
    </w:p>
    <w:p>
      <w:r>
        <w:t>Zusammenfassend ist festzuhalten, dass aufgrund des Dargelegten die Vorinstanz zu Recht annehmen durfte, dass die Wiederausreise der Gesuchstellerin nicht gesichert sei. Die Voraussetzungen für die Erteilung eines sogenannten "einheitlichen Visums" - gültig für den gesamten Schengen-Raum - sind somit nicht erfüllt.</w:t>
      </w:r>
    </w:p>
    <w:p>
      <w:r>
        <w:rPr>
          <w:b/>
        </w:rPr>
        <w:t>E. 9</w:t>
      </w:r>
    </w:p>
    <w:p>
      <w:r>
        <w:t>Im Weiteren sind auch keine Gründe ersichtlich, welche die Ausstellung eines Einreisevisums mit räumlich beschränkter Gültigkeit erfordern würden.</w:t>
      </w:r>
    </w:p>
    <w:p>
      <w:r>
        <w:rPr>
          <w:b/>
        </w:rPr>
        <w:t>E. 10</w:t>
      </w:r>
    </w:p>
    <w:p>
      <w:r>
        <w:t>Aus vorstehenden Erwägungen folgt, dass die angefochtene Verfügung im Lichte von Art. 49 VwVG nicht zu beanstanden ist. Die Beschwerde ist daher abzuweisen.</w:t>
      </w:r>
    </w:p>
    <w:p>
      <w:r>
        <w:rPr>
          <w:b/>
        </w:rPr>
        <w:t>E. 11</w:t>
      </w:r>
    </w:p>
    <w:p>
      <w:r>
        <w:t>Bei diesem Ausgang des Verfahrens sind die Kosten dem Beschwerdeführer aufzuerlegen (Art. 63 Abs. 1 VwVG i.V.m. Art. 1 ff. des Reglements über die Kosten und Entschädigungen vor dem Bundesverwaltungsgericht vom 21. Februar 2008 [VGKE, SR 173.320.2]).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