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F-7180/2018 vom 28. Oktober 2019</w:t>
      </w:r>
    </w:p>
    <w:p>
      <w:r>
        <w:t>Bundesverwaltungsgericht, 2019-10-28, FR</w:t>
      </w:r>
    </w:p>
    <w:p>
      <w:r>
        <w:rPr>
          <w:b/>
        </w:rPr>
        <w:t xml:space="preserve">Quelle: </w:t>
      </w:r>
      <w:r>
        <w:t>https://mcp.opencaselaw.ch/entscheid/bvger_F-7180_2018</w:t>
      </w:r>
    </w:p>
    <w:p>
      <w:r>
        <w:t>FR: TAF F-7180/2018 du 28 octobre 2019</w:t>
      </w:r>
    </w:p>
    <w:p>
      <w:r>
        <w:t>IT: TAF F-7180/2018 del 28 ottobre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Les recourants ont qualité pour recourir, étant donné qu'ils ont participé à la procédure devant l'instance inférieure, qu'ils sont spécialement atteints par la décision querellée et ont un intérêt digne de protection à son annulation, leur souhait de pouvoir accueillir leur invitée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Le Tribunal utilisera donc ci-après cette nouvelle dénomination, étant précisé que les dispositions matérielles traitées dans le présent arrêt n'ont pas connu de modification (cf. l'arrêt du TAF F-2068/2018 et F-2071/2018 du 1er février 2019 consid. 2).</w:t>
      </w:r>
    </w:p>
    <w:p>
      <w:r>
        <w:rPr>
          <w:b/>
        </w:rPr>
        <w:t>E. 4.1</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p. 3531 ; voir également ATF 135 II 1 consid. 1.1 et ATAF 2014/1 consid. 4.1.1 et les références citées).</w:t>
      </w:r>
    </w:p>
    <w:p>
      <w:r>
        <w:rPr>
          <w:b/>
        </w:rPr>
        <w:t>E. 4.3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4.1.5 et les références citées).</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w:t>
      </w:r>
    </w:p>
    <w:p>
      <w:r>
        <w:rPr>
          <w:b/>
        </w:rPr>
        <w:t>E. 5.2</w:t>
      </w:r>
    </w:p>
    <w:p>
      <w:r>
        <w:t>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w:t>
      </w:r>
    </w:p>
    <w:p>
      <w:r>
        <w:rPr>
          <w:b/>
        </w:rPr>
        <w:t>E. 5.3</w:t>
      </w:r>
    </w:p>
    <w:p>
      <w:r>
        <w:t>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5.4</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5.5</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les ressortissants des Etats tiers selon qu'ils sont soumis ou non à l'obligation du visa. En tant que ressortissante camerounaise, la recourante est soumise à l'obligation de visa (cf. l'annexe 1 des règlements susmentionnés).</w:t>
      </w:r>
    </w:p>
    <w:p>
      <w:r>
        <w:rPr>
          <w:b/>
        </w:rPr>
        <w:t>E. 6</w:t>
      </w:r>
    </w:p>
    <w:p>
      <w:r>
        <w:t>Dans la décision querellée, l'instance inférieure a refusé d'autoriser l'entrée de Z._______ en Suisse, au motif que son départ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7</w:t>
      </w:r>
    </w:p>
    <w:p>
      <w:r>
        <w:t>Au regard de la situation socio-économique prévalant au Cameroun, on ne saurait de prime abord écarter les craintes émises par l'autorité intimée de voir l'intéressée prolonger son séjour en Suisse ou dans l'Espace Schengen au-delà de la date d'échéance du visa sollicité.</w:t>
      </w:r>
    </w:p>
    <w:p>
      <w:r>
        <w:rPr>
          <w:b/>
        </w:rPr>
        <w:t>E. 7.1</w:t>
      </w:r>
    </w:p>
    <w:p>
      <w:r>
        <w:t>Le produit intérieur brut (PIB) par habitant a été calculé à 1'544 USD pour le Cameroun en 2018, demeurant ainsi très en dessous des standards européens (cf. le site internet du Ministère français des affaires étrangères, www.diplomatie.gouv.fr &gt; dossiers pays &gt; Cameroun &gt; Présentation du Cameroun &gt; Données économiques, consulté en septembre 2019). Selon la Banque mondiale, le Cameroun a subi de plein fouet la chute des prix pétroliers et la part de la population pauvre a augmenté de 12 % entre 2007 et 2014, pour atteindre 8,1 millions d'habitants, en raison d'une croissance démographique plus rapide que le rythme de réduction de la pauvreté (cf. le site web de la Banque mondiale www.banquemondiale.org &gt; Nos pays &gt; Cameroun, consulté en septembre 2019).</w:t>
      </w:r>
    </w:p>
    <w:p>
      <w:r>
        <w:rPr>
          <w:b/>
        </w:rPr>
        <w:t>E. 7.2</w:t>
      </w:r>
    </w:p>
    <w:p>
      <w:r>
        <w:t>En outre, l'indice de développement humain (IDH) 2017, qui prend en compte la santé, l'éducation et le niveau de vie, classe le Cameroun en 151e position sur 189 pays, soit très loin des standards de l'Europe occidentale (voir le site internet des rapports sur le développement humain du Programme des Nations Unies pour le développement [HDR UNDP] : http://hdr.undp.org Data, site consulté en septembre 2019).</w:t>
      </w:r>
    </w:p>
    <w:p>
      <w:r>
        <w:rPr>
          <w:b/>
        </w:rPr>
        <w:t>E. 7.3</w:t>
      </w:r>
    </w:p>
    <w:p>
      <w:r>
        <w:t>Sur le plan sécuritaire, le Département fédéral des affaires étrangères (DFAE) fait état de risques d'attentats (notamment par le groupe terroriste Boko Haram), d'incursions armées depuis la République centrafricaine ainsi que d'émeutes de nature politique (www.eda.admin.ch Représentations et conseils aux voyageurs Cameroun Conseils aux voyageurs, consulté en septembre 2019).</w:t>
      </w:r>
    </w:p>
    <w:p>
      <w:r>
        <w:rPr>
          <w:b/>
        </w:rPr>
        <w:t>E. 7.4</w:t>
      </w:r>
    </w:p>
    <w:p>
      <w:r>
        <w:t>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 en la personne des hôtes (cf. lettre d'invitation des hôtes du 25 juin 2017 [recte : 2018]).</w:t>
      </w:r>
    </w:p>
    <w:p>
      <w:r>
        <w:rPr>
          <w:b/>
        </w:rPr>
        <w:t>E. 7.5</w:t>
      </w:r>
    </w:p>
    <w:p>
      <w:r>
        <w:t>Cela étant, l'autorité ne saurait se fonder sur la seule situation prévalant dans le pays de provenance de l'étranger pour conclure à l'absence de garantie quant à sa sortie ponctuelle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et ATAF 2009/27 consid. 8).</w:t>
      </w:r>
    </w:p>
    <w:p>
      <w:r>
        <w:rPr>
          <w:b/>
        </w:rPr>
        <w:t>E. 8</w:t>
      </w:r>
    </w:p>
    <w:p>
      <w:r>
        <w:t>Il convient dès lors d'examiner si la situation personnelle, familiale, professionnelle et patrimoniale de l'invitée plaide en faveur de sa sortie ponctuelle de Suisse, respectivement de l'Espace Schengen, au terme du séjour envisagé.</w:t>
      </w:r>
    </w:p>
    <w:p>
      <w:r>
        <w:rPr>
          <w:b/>
        </w:rPr>
        <w:t>E. 8.1</w:t>
      </w:r>
    </w:p>
    <w:p>
      <w:r>
        <w:t>En l'occurrence, il ressort du mémoire de recours et des documents produits à l'appui du pourvoi que l'invitée, âgée de 35 ans et célibataire, est mère d'un enfant âgé de 10 ans. Selon les allégations contenues dans le recours, elle vivrait avec cet enfant dans la maison familiale, en compagnie de ses parents « relativement âgés », dont elle s'occupe. Certes, la présence au Cameroun de cet enfant et de ses parents constitue une attache familiale importante qui, a priori, parle en faveur du retour de la prénommée dans ce pays à la fin du séjour projeté. Il sied cependant de constater qu'elle doit être relativisée, dans la mesure où l'invitée envisage d'effectuer un voyage à l'étranger pendant une relativement longue période (3 mois) sans que cela ne semble causer le moindre problème pour la garde et l'entretien de cet enfant, qui, au demeurant, n'est plus en bas-âge et ne nécessite plus un encadrement et une attention étroits. De même, il n'est pas démontré que les parents de l'invitée soient dépendants de leur fille au point que sa longue absence entraînerait pour eux des difficultés particulières, laissant ainsi supposer qu'elle n'est pas la seule personne à pouvoir s'en occuper. De plus, au vu de l'expérience générale, de tels liens, comme les autres relations familiales et sociales que l'intéressée y entretient, sont parfois insuffisants pour inciter une personne à retourner dans sa patrie, notamment au regard de perspectives plus favorables à l'étranger. Il ne faut pas perdre de vue à cet égard que la qualité de vie et la situation socio-économique prévalant en Suisse sont autant de facteurs susceptibles d'inciter la prénommée, une fois arrivée en ce pays, à y entreprendre, cas échéant avec l'aide de sa soeur et de son ami résidant en Suisse et auquel elle souhaite rendre visite, les formalités nécessaires en vue d'y prolonger son séjour, notamment dans le but d'y trouver des conditions de vie supérieures à celles rencontrées dans son pays d'origine, tout en envisageant de se faire ensuite rejoindre en ce pays par son enfant, malgré les assurances contraires qui ont été données au cours de la procédure. En effet, la volonté d'émigrer est souvent liée à l'espoir de pouvoir mieux soutenir des membres de la famille depuis l'étranger (cf. parmi d'autres l'arrêt du TAF C-5933/2014 du 15 février 2016 consid. 6.1). Ainsi, force est de constater que l'invitée serait en mesure, du point de vue de son âge, de se créer une nouvelle existence hors de sa patrie, sans que cela n'entraîne pour elle de difficultés majeures.</w:t>
      </w:r>
    </w:p>
    <w:p>
      <w:r>
        <w:rPr>
          <w:b/>
        </w:rPr>
        <w:t>E. 8.2</w:t>
      </w:r>
    </w:p>
    <w:p>
      <w:r>
        <w:t>Par ailleurs, les allégations des recourants concernant l'activité professionnelle de leur invitée, à savoir gérante d'un magasin depuis le mois de janvier 2016 pour une activité de 40 heures hebdomadaires (cf. copie du contrat de travail joint au recours), ne sont pas davantage susceptibles de représenter un facteur déterminant dans l'appréciation du cas. En effet, même si les copies des bulletins de paie produits (pour les seuls mois de juillet et novembre 2018) font mention d'un salaire se montant à 150'152 francs CFA (soit environ 251 francs), et se situant au-dessus du salaire mensuel moyen brut à Douala (190 euros ; https://www.combien-coute.net/salaire-moyen/cameroun), il n'en demeure pas moins qu'il reste très inférieur à celui des salaires européens. A cela s'ajoute qu'il est pour le moins étonnant que l'invitée puisse s'absenter de son poste de travail pour une période de trois mois, sans que cela ne cause apparemment le moindre problème. Quant au relevé de compte bancaire de l'intéressée, qui mentionne une fortune de 2'572'532 francs CFA (environ 4'303 francs), il ne permet de tirer aucune conclusion sur la provenance des montants qui y figurent. Dès lors, le Tribunal ne peut considérer que l'activité professionnelle exercée par l'invitée soit suffisamment lucrative pour réduire suffisamment le risque de prolongation du séjour en Suisse, même temporaire, notamment pour y exercer une activité. Cette éventualité peut d'autant moins être écartée qu'elle peut se permettre un séjour de trois mois en Suisse, ce qui ne semble pas lui occasionner de difficultés majeures sur les plans familial ou professionnel, comme relevé ci-avant. Il ne faut en effet pas perdre de vue que la Suisse connaît un niveau de vie sensiblement supérieur à celui du Cameroun et que cette circonstance peut s'avérer décisive lorsqu'une personne prend la décision de quitter définitivement sa patrie. Dans ce contexte, l'on ne décèle du reste aucun élément dans le dossier permettant de conclure que la situation matérielle de l'intéressée se trouverait péjorée si celle-ci prenait la décision de demeurer sur territoire helvétique à l'expiration de son visa.</w:t>
      </w:r>
    </w:p>
    <w:p>
      <w:r>
        <w:rPr>
          <w:b/>
        </w:rPr>
        <w:t>E. 8.3</w:t>
      </w:r>
    </w:p>
    <w:p>
      <w:r>
        <w:t>S'agissant des assurances données par les recourants quant au départ ponctuel de l'intéressée à l'issue de son séjour, il y a lieu de rappeler qu'elles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(cf. ATAF 2009/27 consid. 9 et notamment arrêt du TAF F-4176/2017 du 1er mars 2018 consid. 6). Certes les intéressés ont aussi fait valoir qu'ils se sont portés garant pour la mère de la recourante, qui aurait obtenu un visa pour venir à deux reprises en Suisse. Pareil argument n'est cependant pas déterminant en l'occurrence, étant donné que chaque demande fait l'objet d'un examen individuel et actualisé (cf. arrêt du Tribunal administratif C-1742/2012 du 21 septembre 2012 consid. 6.2 et jurisprudence cit.).</w:t>
      </w:r>
    </w:p>
    <w:p>
      <w:r>
        <w:rPr>
          <w:b/>
        </w:rPr>
        <w:t>E. 8.4</w:t>
      </w:r>
    </w:p>
    <w:p>
      <w:r>
        <w:t>Vu ce qui précède, le Tribunal estime que Z._______ ne dispose pas, au Cameroun, d'attaches ou de responsabilités suffisantes pour garantir son départ de Suisse au terme du séjour envisagé (cf. consid. 7.5 supra).</w:t>
      </w:r>
    </w:p>
    <w:p>
      <w:r>
        <w:rPr>
          <w:b/>
        </w:rPr>
        <w:t>E. 8.5</w:t>
      </w:r>
    </w:p>
    <w:p>
      <w:r>
        <w:t>Dans ces circonstances, le Tribunal ne saurait reprocher à l'instance inférieure d'avoir confirmé le refus d'autorisation d'entrée dans l'Espace Schengen concernant la prénommée.</w:t>
      </w:r>
    </w:p>
    <w:p>
      <w:r>
        <w:rPr>
          <w:b/>
        </w:rPr>
        <w:t>E. 9</w:t>
      </w:r>
    </w:p>
    <w:p>
      <w:r>
        <w:t>Le Tribunal relève par ailleurs que le désir exprimé par les recourants, au demeurant parfaitement compréhensible, d'avoir une visite familiale et de faire découvrir leur pays de résidence à leur invitée ne constitue pas à lui seul un motif justifiant l'octroi d'un visa, à propos duquel il ne saurait au demeurant se prévaloir d'aucun droit (cf. consid. 4.2 supra). Certes, il peut, du moins à première vue, sembler sévère de refuser à une personne l'autorisation d'entrer dans un pays où réside un ami proche.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4.1 supra).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 notamment au Cameroun, comme cela a déjà été le cas par le passé (cf. consid. A.d supra).</w:t>
      </w:r>
    </w:p>
    <w:p>
      <w:r>
        <w:rPr>
          <w:b/>
        </w:rPr>
        <w:t>E. 10</w:t>
      </w:r>
    </w:p>
    <w:p>
      <w:r>
        <w:t>Au demeurant, le Tribunal constate que le dossier ne laisse pas apparaître de motifs susceptibles de justifier la délivrance en faveur de l'invitée d'un visa à validité territoriale limitée (visa VTL; cf. consid. 5.4 supra). A cet égard, il convient de relever que le refus d'autorisation d'entrée prononcé à l'endroit de l'intéressée ne constitue pas une ingérence inadmissible dans l'exercice du droit au respect de la vie privée et familiale consacré par l'art. 8 CEDH (pour autant que cette disposition soit applicable en l'espèce), dans la mesure où les recourants et leur invitée ne se trouvent pas durablement dans l'impossibilité, comme relevé ci-dessus, de se rencontrer ailleurs qu'en Suisse (cf. arrêt du TAF C-5064/2015 du 30 décembre 2015 consid. 6.2). A cela s'ajoute que les contacts pourront également être maintenus par d'autres moyens tels que la communication téléphonique, la correspondance et les visioconférences.</w:t>
      </w:r>
    </w:p>
    <w:p>
      <w:r>
        <w:rPr>
          <w:b/>
        </w:rPr>
        <w:t>E. 11</w:t>
      </w:r>
    </w:p>
    <w:p>
      <w:r>
        <w:t>Il s'ensuit que, par sa décision du 19 novembre 2018,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