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F-716/2022 vom 13. Januar 2022</w:t>
      </w:r>
    </w:p>
    <w:p>
      <w:r>
        <w:t>Bundesverwaltungsgericht, 2022-01-13, DE</w:t>
      </w:r>
    </w:p>
    <w:p>
      <w:r>
        <w:rPr>
          <w:b/>
        </w:rPr>
        <w:t xml:space="preserve">Quelle: </w:t>
      </w:r>
      <w:r>
        <w:t>https://mcp.opencaselaw.ch/entscheid/bvger_F-716_2022_d20220113</w:t>
      </w:r>
    </w:p>
    <w:p>
      <w:r>
        <w:t>FR: TAF F-716/2022 du 13 janvier 2022</w:t>
      </w:r>
    </w:p>
    <w:p>
      <w:r>
        <w:t>IT: TAF F-716/2022 del 13 gennaio 2022</w:t>
      </w:r>
    </w:p>
    <w:p>
      <w:pPr>
        <w:pStyle w:val="Heading2"/>
      </w:pPr>
      <w:r>
        <w:t>Regeste</w:t>
      </w:r>
    </w:p>
    <w:p>
      <w:r>
        <w:t>Einreiseverbot | Einreiseverbot; Verfügung des SEM vom 13. Januar 2022</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t>F-716/2022 Seite 5</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 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Die verfügende Behörde kann ausnahmsweise aus humanitären oder anderen wichtigen Gründen von der Verhängung eines Einreiseverbots absehen oder ein Einreiseverbot endgültig oder vorübergehend aufheben (Art. 67 Abs. 5 erster Satz AIG).</w:t>
      </w:r>
    </w:p>
    <w:p>
      <w:r>
        <w:rPr>
          <w:b/>
        </w:rPr>
        <w:t>E. 3.2</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w:t>
      </w:r>
    </w:p>
    <w:p>
      <w:r>
        <w:t>F-716/2022 Seite 6</w:t>
      </w:r>
    </w:p>
    <w:p>
      <w:r>
        <w:rPr>
          <w:b/>
        </w:rPr>
        <w:t>E. 3.3</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[hier noch anwendbaren] Verordnung [EG] Nr. 1987/2006 vom 20. Dezember 2006 über die Einrichtung, den Betrieb und die Nutzung des SIS-II, ABl. L 381/4 vom 28.12.2006 [SIS-II-VO] [ab- gelöst durch: Verordnung (EU) 2018/1861 des Europäischen Parlaments und des Rates vom 28. November 2018 über die Einrichtung, den Betrieb und die Nutzung des Schengener Informationssystems (SIS) im Bereich der Grenzkontrollen, zur Änderung des Übereinkommens zur Durchfüh- rung des Übereinkommens von Schengen und zur Änderung und Aufhe- bung der Verordnung (EG) Nr. 1987/2006, ABl. L312/14 vom 7.12.2018 [SIS-VO-Grenze]; vergleiche diesbezüglich deren Art. 65]).</w:t>
      </w:r>
    </w:p>
    <w:p>
      <w:r>
        <w:rPr>
          <w:b/>
        </w:rPr>
        <w:t>E. 4.1</w:t>
      </w:r>
    </w:p>
    <w:p>
      <w:r>
        <w:t>Die Vorinstanz begründet das Einreiseverbot im Wesentlichen damit, dass der Beschwerdeführer wiederholt und in schwerwiegender Weise ge- gen die öffentliche Sicherheit und Ordnung verstossen habe. Er sei u.a. mit Urteil des Kantonsgerichts E._______ vom 24. Juni 2019 wegen gewerbs- mässigen Betrugs zu einer Freiheitsstrafe von 32 Monaten verurteilt wor- den, weil er zwischen 2007 und 2014 durch falsche Angaben zu Unrecht IV-Leistungen und Ergänzungsleistungen in der Höhe von insgesamt Fr. 357'742.– bezogen habe. Sozialversicherungsmissbrauch sei gemäss dem Verfassungsgeber besonders verwerflich und führe zum Verlust eines jeden Aufenthaltsrechts sowie zu einem obligatorischen Einreiseverbot von fünf bis 15 Jahren (vgl. Art. 66a Abs. 1 Bst. e StGB). Zwar sei vorliegend die mit der strafrechtlichen Landesverweis eingeführten Verschärfung des bisherigen Rechts aufgrund des Rückwirkungsverbots und des Grundsat- zes des milderen Rechts nicht anwendbar, dennoch könne die in der Be- stimmung enthaltene Wertung bei der Interessenabwägung hinzugezogen werden. Zu berücksichtigen seien ferner die erhebliche Verschuldung des Beschwerdeführers (offene Schulden von über Fr. 360'509.– sowie Verlust- scheine über Fr. 358'441.– per 1. Februar 2021) und die Unterstützung durch die Sozialhilfe im Umfang von Fr. 104'183.– per 12. Mai 2020. Auf- grund seines bisherigen Verhaltens sei bei einer Wiedereinreise in die Schweiz die Gefahr einer erneuten Straffälligkeit als gross einzuschätzen. Folglich sei das Einreiseverbot für die Dauer von fünf Jahren auch unter Berücksichtigung der privaten Interessen beziehungsweise seiner Bezie- hung zu seiner in der Schweiz lebenden Familie verhältnismässig. Die</w:t>
      </w:r>
    </w:p>
    <w:p>
      <w:r>
        <w:t>F-716/2022 Seite 7 «Nachteile» seien schliesslich primär auf den Verlust des Aufenthaltsrechts zurückzuführen.</w:t>
      </w:r>
    </w:p>
    <w:p>
      <w:r>
        <w:rPr>
          <w:b/>
        </w:rPr>
        <w:t>E. 4.2</w:t>
      </w:r>
    </w:p>
    <w:p>
      <w:r>
        <w:t>Der Beschwerdeführer führt dagegen an, er sei für seine strafrechtli- chen Verfehlungen bereits ausreichend bestraft worden. Zudem habe das Strafgericht entschieden, dass von einer Landesverweisung abzusehen sei. Das Absehen von einer Landesverweisung sei in Rechtskraft erwach- sen. Der Verweis auf die strafrechtliche Landesverweisung und deren Wer- tung sei zudem nicht statthaft, da Art. 66a StGB erst im Oktober 2016 in Kraft getreten sei und die ihm vorgeworfenen Straftaten weiter zurücklie- gen würden. Dies verstosse gegen das Rückwirkungsverbot im Strafrecht im Sinne von Art. 2 StGB. Ferner sei es nicht angemessen, sich im Jahr 2022 auf Straftaten zu beziehen, welche über sieben Jahre zurückliegen würden. Eine Risikoanalyse müsse daher dazu führen, dass keine Gefähr- dung von ihm – dem Beschwerdeführer – ausgehe. Sodann habe er eine enge Beziehung zu seiner Frau und seinen Kindern, welche in der Schweiz leben würden. Ein Einreiseverbot würde das familiäre Verhältnis massiv tangieren.</w:t>
      </w:r>
    </w:p>
    <w:p>
      <w:r>
        <w:rPr>
          <w:b/>
        </w:rPr>
        <w:t>E. 4.3</w:t>
      </w:r>
    </w:p>
    <w:p>
      <w:r>
        <w:t>In ihrer Vernehmlassung ergänzt die Vorinstanz, dass das zeitliche Zu- rückliegen der vom Beschwerdeführer begangenen Delikte bei der Dauer des Einreiseverbots bereits berücksichtigt worden sei. Zudem könne nicht auf ein künftiges Wohlverhalten des Beschwerdeführers geschlossen wer- den, da dieser wiederholt delinquent geworden sei.</w:t>
      </w:r>
    </w:p>
    <w:p>
      <w:r>
        <w:rPr>
          <w:b/>
        </w:rPr>
        <w:t>E. 5.1</w:t>
      </w:r>
    </w:p>
    <w:p>
      <w:r>
        <w:t>In Bezug auf die vorgebrachte Verletzung des Rückwirkungsverbots ist dem Beschwerdeführer darin zuzustimmen, dass Art. 66a Abs. 1 Bst. a StGB nicht rückwirkend angewendet werden darf. Dennoch ist im Rahmen der Interessenabwägung (E. 6) zu berücksichtigen, dass eine entspre- chende Tat heute (unter Vorbehalt der Härtefallklausel) zwingend zu einer Landesverweisung führen würde, was die Schwere der Gesetzesverlet- zung unterstreicht (vgl. Urteil des BGer 2C_1003/2016 vom 10. März 2017 E. 5.2; Urteile des BVGer F-1498/2020 vom 19. Januar 2022 E. 8.3; F-1753/2020 vom 25. Januar 2021 E. 8.3).</w:t>
      </w:r>
    </w:p>
    <w:p>
      <w:r>
        <w:rPr>
          <w:b/>
        </w:rPr>
        <w:t>E. 5.2</w:t>
      </w:r>
    </w:p>
    <w:p>
      <w:r>
        <w:t>Der Beschwerdeführer hat während seines Aufenthalts in der Schweiz über 20 Jahre hinweg zahlreiche Straftaten begangen. Zuletzt wurde er wegen gewerbsmässigen Betrugs zu 32 Monaten Freiheitsstrafe verurteilt, wovon er acht Monate unbedingt im Strafvollzug (vom 8. Dezember 2020 bis 6. August 2021) verbüsste. Er hatte zwischen 2007 und 2014 durch</w:t>
      </w:r>
    </w:p>
    <w:p>
      <w:r>
        <w:t>F-716/2022 Seite 8 falsche Angaben zu seinen Leiden zu Unrecht IV-Rentenleistungen in der Höhe von Fr. 131'849.– sowie Ergänzungsleistungen im Umfang von Fr. 225'893.– bezogen (Verurteilung letztinstanzlich bestätigt mit Urteil des BGer 6B_1286/2019 vom 6. Mai 2020). Hinzu kommen weitere strafrecht- liche Verurteilungen, allen voran wegen Verstössen gegen das SVG (siehe Sachverhaltsteil Bst. B).</w:t>
      </w:r>
    </w:p>
    <w:p>
      <w:r>
        <w:rPr>
          <w:b/>
        </w:rPr>
        <w:t>E. 5.3</w:t>
      </w:r>
    </w:p>
    <w:p>
      <w:r>
        <w:t>Mit seiner wiederholten Straffälligkeit hat der Beschwerdeführer zwei- felsfrei gegen die öffentliche Sicherheit und Ordnung verstossen. Der Fern- haltegrund nach Art. 67 Abs. 2 aBst. a AIG ist somit gesetzt, weshalb die Vorinstanz grundsätzlich ein Einreiseverbot anordnen durfte.</w:t>
      </w:r>
    </w:p>
    <w:p>
      <w:r>
        <w:rPr>
          <w:b/>
        </w:rPr>
        <w:t>E. 6</w:t>
      </w:r>
    </w:p>
    <w:p>
      <w:r>
        <w:t>Zu prüfen bleibt die Verhältnismässigkeit der Massnahme (vgl. E. 3.2).</w:t>
      </w:r>
    </w:p>
    <w:p>
      <w:r>
        <w:rPr>
          <w:b/>
        </w:rPr>
        <w:t>E. 6.1</w:t>
      </w:r>
    </w:p>
    <w:p>
      <w:r>
        <w:t>Das öffentliche Interesse an der Fernhaltemassnahme besteht im Schutz der öffentlichen Ordnung und Sicherheit. Der Beschwerdeführer hat über 20 Jahre hinweg Straftaten begangen. Dabei haben ihn weder aus- länderrechtliche Verwarnungen, strafrechtliche Massnahmen, noch seine familiären Verpflichtungen von der Begehung weiterer Straftaten abgehal- ten. Zwar liegen diese Straftaten teilweise schon weit zurück. Allerdings liess der Beschwerdeführer mit seiner durch das Bundesgericht bestätigten Verurteilung wegen gewerbsmässigen Betrugs erkennen, dass er nicht in der Lage oder willens ist, sich an die Rechtsordnung zu halten. Er errichtete arglistig mit jahrelangen betrügerischen Machenschaften ein ganzes Lü- gengebäude und inszenierte seine Invalidität, um Sozialhilfe- und Ergän- zungsleistungen zu erschleichen (vgl. Urteil 6B_1286/2019 E. 2.4.5). Er hat somit in schwerer Weise gegen die öffentliche Ordnung verstossen, womit ein grosses öffentliches Interesse an der Fernhaltung des Beschwer- deführers besteht.</w:t>
      </w:r>
    </w:p>
    <w:p>
      <w:r>
        <w:rPr>
          <w:b/>
        </w:rPr>
        <w:t>E. 6.2</w:t>
      </w:r>
    </w:p>
    <w:p>
      <w:r>
        <w:t>Nach einem rechtmässigen Aufenthalt in der Schweiz von über 30 Jah- ren hat der Beschwerdeführer zweifellos ein erhebliches privates Interesse an einer Aufenthaltsbewilligung, zumal er seit seinem elften Lebensjahr – bis zur Wegweisung im Jahr 2022 – mit einer gefestigten Aufenthaltsbe- rechtigung in der Schweiz gelebt hat und somit ein beträchtlicher Teil seiner Sozialisierung hier stattgefunden hat. Zu berücksichtigen ist ferner seine faktisch gelebte, enge Beziehung zu seiner in der Schweiz niedergelasse- nen Ehefrau und den zwei gemeinsamen Kindern (geb. […] und […]). In- wiefern sich seine Beziehung zu den zwei Kindern aus einer früheren Be- ziehung gestaltet, kann vorliegend offengelassen werden. Der</w:t>
      </w:r>
    </w:p>
    <w:p>
      <w:r>
        <w:t>F-716/2022 Seite 9 Beschwerdeführer hat seit seiner Wegweisung am 6. November 2020 den Kontakt zu seiner Familie fortwährend gepflegt und sich etwa im Rahmen eines längeren Besuchsaufenthalts vom 23. Dezember bis 6. Januar 2023 (BVGer-act. 13) bei ihr in der Schweiz aufgehalten. Wie den Akten zu ent- nehmen ist, ist es der Familie trotz räumlicher Trennung gelungen, eine intakte Beziehung zum Beschwerdeführer zu pflegen. Es steht der Familie jedoch frei, sich ausserhalb der Schweiz zu treffen. Die zwei minderjähri- gen Kinder befinden sich ferner in einem Alter, in dem sie aufgrund des schulischen Rahmens bereits relativ selbständig ihren Alltag bestreiten. Vor diesem Hintergrund erscheint es dem Beschwerdeführer und seiner Familie grundsätzlich weiterhin zumutbar, die Beziehung mit gegenseitigen Besuchen und verschiedenen Kommunikationsmitteln aufrechtzuerhalten und zu pflegen.</w:t>
      </w:r>
    </w:p>
    <w:p>
      <w:r>
        <w:rPr>
          <w:b/>
        </w:rPr>
        <w:t>E. 6.3</w:t>
      </w:r>
    </w:p>
    <w:p>
      <w:r>
        <w:t>Das private Interesse des Beschwerdeführers an der Aufhebung bezie- hungsweise Kürzung des Einreiseverbots ist wegen seiner familiären Be- ziehungen bedeutend. Angesichts dessen erheblichen sowie wiederholten Delinquenz vermag es das fortbestehende öffentliche Interesse an seiner Fernhaltung aber nicht zu überwiegen.</w:t>
      </w:r>
    </w:p>
    <w:p>
      <w:r>
        <w:rPr>
          <w:b/>
        </w:rPr>
        <w:t>E. 7</w:t>
      </w:r>
    </w:p>
    <w:p>
      <w:r>
        <w:t>In Anbetracht der vorangegangenen Ausführungen ist ein überwiegendes öffentliches Interesse nicht nur der Schweiz, sondern sämtlicher Schen- gen-Staaten an der Fernhaltung des Beschwerdeführers gegeben. Die Ausschreibung des Beschwerdeführers im Schengener Informationssys- tem (SIS) ist gestützt auf Art. 21 und 24 SIS-II-VO und Art. 21 der N-SIS- VO zu bestätigen.</w:t>
      </w:r>
    </w:p>
    <w:p>
      <w:r>
        <w:rPr>
          <w:b/>
        </w:rPr>
        <w:t>E. 8</w:t>
      </w:r>
    </w:p>
    <w:p>
      <w:r>
        <w:t>Zusammenfassend ergibt sich, dass die angefochtene Verfügung im Lichte von Art. 49 VwVG nicht zu beanstanden ist. Die Beschwerde ist abzuwei- sen.</w:t>
      </w:r>
    </w:p>
    <w:p>
      <w:r>
        <w:rPr>
          <w:b/>
        </w:rPr>
        <w:t>E. 9</w:t>
      </w:r>
    </w:p>
    <w:p>
      <w:r>
        <w:t>Entsprechend dem Ausgang des Verfahrens sind die Kosten, welche sich vorliegend auf Fr. 1'000.– belaufen, dem Beschwerdeführer aufzuerlegen (Art. 63 Abs. 1 VwVG i.V.m. Art. 1 ff. des Reglements vom 21. Februar 2008 über die Kosten und Entschädigungen vor dem Bundesverwaltungsgericht [VGKE, SR 173.320.2]). Sie sind durch den in gleicher Höhe geleisteten Kostenvorschuss gedeckt. Ausgangsgemäss ist keine Parteientschädi- gung zuzusprechen (Art. 64 Abs. 1 VwVG e contrario).</w:t>
      </w:r>
    </w:p>
    <w:p>
      <w:r>
        <w:t>F-716/2022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