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F-7164/2016 vom 7. Februar 2018</w:t>
      </w:r>
    </w:p>
    <w:p>
      <w:r>
        <w:t>Bundesverwaltungsgericht, 2018-02-07, DE</w:t>
      </w:r>
    </w:p>
    <w:p>
      <w:r>
        <w:rPr>
          <w:b/>
        </w:rPr>
        <w:t xml:space="preserve">Quelle: </w:t>
      </w:r>
      <w:r>
        <w:t>https://mcp.opencaselaw.ch/entscheid/bvger_F-7164_2016</w:t>
      </w:r>
    </w:p>
    <w:p>
      <w:r>
        <w:t>FR: TAF F-7164/2016 du 7 février 2018</w:t>
      </w:r>
    </w:p>
    <w:p>
      <w:r>
        <w:t>IT: TAF F-7164/2016 del 7 febbraio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In formeller Hinsicht macht der Beschwerdeführer eine Verletzung des rechtlichen Gehörs - namentlich der Begründungspflicht - geltend, indem sich die Vorinstanz nicht mit seinen Vorbringen, Argumenten sowie den eingereichten Dokumenten auseinander gesetzt, sondern sich mit der Aneinanderreihung von Textbausteinen zur allgemeinen Lage in Eritrea begnügt habe.</w:t>
      </w:r>
    </w:p>
    <w:p>
      <w:r>
        <w:rPr>
          <w:b/>
        </w:rPr>
        <w:t>E. 3.2</w:t>
      </w:r>
    </w:p>
    <w:p>
      <w:r>
        <w:t>Der Anspruch auf rechtliches Gehör (Art. 29 Abs. 2 BV; Art. 29 ff. VwVG) dient der Sachabklärung und stellt gleichzeitig ein persönlichkeits-bezogenes Mitwirkungsrecht beim Erlass eines Entscheides dar. Kernelement ist das Recht auf vorgängige Äusserung und Anhörung. Die Behörde muss diese Äusserungen zur Kenntnis nehmen und sich in der Entscheid-findung und -begründung sachgerecht damit auseinandersetzen (Art. 30 und Art. 32 Abs. 1 VwVG). Die Begründungspflicht (Art. 35 VwVG) dient schlussendlich der rationalen und transparenten Entscheidfindung und soll dem Adressaten erlauben, einen Entscheid entweder zu akzeptieren oder sachgerecht anzufechten. Die Behörde hat dabei die wesentlichen Überlegungen zu nennen, von denen sie sich leiten liess (vgl. statt vieler BVGE 2012/24 E. 3.2). Dabei ist die Verwendung von Textbausteinen im Visumsverfahren zulässig, sofern die Vorinstanz den konkreten Fall anschliessend hinreichend würdigt (vgl. zur Verwendung von Textbausteinen Urteil des BVGer C-4868/2015 vom 19. November 2015 E. 5.5 m.w.H.).</w:t>
      </w:r>
    </w:p>
    <w:p>
      <w:r>
        <w:rPr>
          <w:b/>
        </w:rPr>
        <w:t>E. 3.3</w:t>
      </w:r>
    </w:p>
    <w:p>
      <w:r>
        <w:t>In ihrer Verfügung vom 1. November 2016 machte die Vorinstanz bezüglich der allgemeinen Einschätzung des Risikos einer nicht fristgerechten Wiederausreise der Gesuchstellerin zunächst generelle Ausführungen und verwendete entsprechende Textbausteine. In diesem Zusammenhang verwies sie auch auf die schwierige wirtschaftliche und politische Situation in Eritrea. Im Anschluss würdigte sie jedoch in ihrer Verfügung - entgegen der Auffassung des Rechtsvertreters - den konkreten Einzelfall. Insbesondere ging die Vorinstanz - gestützt auf die ihr damals vorliegenden Akten - auf die konkreten Verhältnisse, namentlich auf die persönlichen, beruflichen und wirtschaftlichen Umstände der Gesuchstellerin ein, hielt im Weiteren allerdings fest, der Einsprache könne nicht entnommen werden, in welchem familiären Umfeld die Eingeladene im Heimatland lebe. Hinzu kommt, dass die wesentlichen Überlegungen, welche zur Ablehnung der Einsprache führten, im Einspracheentscheid ersichtlich sind. Dem Beschwerdeführer war es folglich gestützt auf die Ausführungen der Vor-instanz durchaus möglich, den zentralen Grund für die Abweisung zu erkennen und dagegen sachgerechte Einwände im Beschwerdeverfahren vorzubringen (vgl. Urteil des BVGer C-6239/2015 vom 4. März 2016 E. 4.3 am Ende).</w:t>
      </w:r>
    </w:p>
    <w:p>
      <w:r>
        <w:rPr>
          <w:b/>
        </w:rPr>
        <w:t>E. 3.4</w:t>
      </w:r>
    </w:p>
    <w:p>
      <w:r>
        <w:t>Zusammenfassend kann der Vorinstanz, welche sich im Rahmen eines weiteren Schriftenwechsels auch noch zu den familiären Verhältnissen der Gesuchstellern äusserte (vgl. insb. die ergänzende Vernehmlassung vom 17. Februar 2017), keine Verletzung des rechtlichen Gehörs, namentlich der Begründungspflicht nach Art. 29 Abs. 2 BV, vorgehalten werden. Die Frage, ob die Vorinstanz bei der Einzelfallbeurteilung zu Recht zu einer anderen Schlussfolgerung gelangte als der Beschwerdeführer, bildet Gegenstand der nachfolgenden materiell-rechtlichen Beurteilung der Beschwerde.</w:t>
      </w:r>
    </w:p>
    <w:p>
      <w:r>
        <w:rPr>
          <w:b/>
        </w:rPr>
        <w:t>E. 4</w:t>
      </w:r>
    </w:p>
    <w:p>
      <w:r>
        <w:t>Der angefochtenen Verfügung liegt das Gesuch einer eritreischen Staatsangehörigen um Erteilung eines Visums für einen 90-tägigen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5</w:t>
      </w:r>
    </w:p>
    <w:p>
      <w:r>
        <w:t>Die Voraussetzungen für die Erteilung eines Visums präsentieren sich im Anwendungsbereich der vorerwähnten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(vgl. Art. 2 der Verordnung vom 22. Oktober 2008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12 Abs. 1 und 2 VEV). Demgegenüber hat die Behörde ein Visum zu erteilen, wenn die Einreisevoraussetzungen vorliegen, wobei ihr bei deren Beurteilung - unter Berücksichtigung der Grundsätze rechtsstaatlichen Handelns, namentlich der Rechtsgleichheit und Willkürfreiheit - ein weiter Beurteilungsspielraum zukommt (eingehend zur Auslegung von Art. 12 Abs. 1 i.V.m. Art. 2 VEV und Art. 6 SGK: BVGE 2014/1 E. 4.1.4 und 4.1.5). Einen Anspruch auf Einreise bzw. Visum vermittelt auch das Schengen-Recht nicht (vgl. BVGE 2014/1 E. 4.1.5 m.H.).</w:t>
      </w:r>
    </w:p>
    <w:p>
      <w:r>
        <w:rPr>
          <w:b/>
        </w:rPr>
        <w:t>E. 5.2</w:t>
      </w:r>
    </w:p>
    <w:p>
      <w:r>
        <w:t>Drittstaatsangehörige dürfen in den Schengen-Raum für einen Aufenthalt von höchstens 90 Tagen innerhalb eines Zeitraums von 180 Tagen einreisen, wenn sie im Besitz gültiger Reisedokumente sind, die zum Grenzübertritt berechtigen (Art. 2 Abs. 1 und Art. 17 VEV i.V.m. Art. 6 Abs. 1 Bst. a SGK). Ferner benötigen sie ein Visum, sofern ein solches nach Massgabe des Anhangs I zur Verordnung (EG) Nr. 539/2001 des Rates vom 15. März 2001 (ABl. L 81/1 vom 21. März 2001 [nachfolgend: Anhang I EG Nr. 539/2001]; vgl. für den vollständigen Nachweis die Fussnote zu Art. 4 Abs. 1 VEV) erforderlich ist. Kein Visum benötigen Drittstaatsangehörige, die Inhaber eines gültigen Aufenthaltstitels sind oder über ein gültiges Visum für den längerfristigen Aufenthalt verfügen (vgl. Art. 5 Abs. 1 Bst. a AuG, Art. 2 Abs. 1 und Art. 4 Abs. 1 VEV i.V.m. Art. 6 Abs. 1 Bst. b SGK).</w:t>
      </w:r>
    </w:p>
    <w:p>
      <w:r>
        <w:rPr>
          <w:b/>
        </w:rPr>
        <w:t>E. 5.3</w:t>
      </w:r>
    </w:p>
    <w:p>
      <w:r>
        <w:t>Im Weiteren müssen Drittstaatsangehörige den Zweck und die Umstände ihres beabsichtigten Aufenthalts belegen und hierfür über ausreichende finanzielle Mittel verfügen (Art. 5 Abs. 1 Bst. b AuG, Art. 2 Abs. 1 und 2 VEV, Art. 6 Abs. 1 Bst. c sowie Abs. 3 und Abs. 4 SGK, Art. 14 Abs. 1 Bst. a - c der Verordnung [EG] Nr. 810/2009 des Europäischen Parlaments und des Rates vom 13. Juli 2009 über einen Visakodex der Gemeinschaft [Visakodex]). Insbesondere ist eine fristgerechte Wiederausreise zu gewährleisten und es sind Angaben vorzulegen, mittels derer die Absicht des Verlassens des Schengen-Raums vor Ablauf der Gültigkeitsdauer des beantragten Visums beurteilt werden kann (Art. 5 Abs. 2 AuG, Art. 14 Abs. 1 Bst. d und Art. 21 Abs. 1 Visakodex; vgl. dazu Egli/Meyer, in: Caroni/Gächter/Thurnherr [Hrsg.], Stämpflis Handkommentar zum Bundesgesetz über die Ausländerinnen und Ausländer, Bern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5.4</w:t>
      </w:r>
    </w:p>
    <w:p>
      <w:r>
        <w:t>Eine Gefahr für die öffentliche Ordnung im Sinne von Art. 6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Visakodex; vgl. BVGE 2014/1 E. 4.4 m.w.H.).</w:t>
      </w:r>
    </w:p>
    <w:p>
      <w:r>
        <w:rPr>
          <w:b/>
        </w:rPr>
        <w:t>E. 5.5</w:t>
      </w:r>
    </w:p>
    <w:p>
      <w:r>
        <w:t>Sind die vorerwähnten Einreisevoraussetzungen nicht erfüllt, darf ein für den gesamten Schengen-Raum geltendes "einheitliches Visum" (Art. 2 Ziff. 3 Visakodex) nicht erteilt werden (Art. 12 Abs. 2 VEV, Art. 32 Visakodex).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zum "Visum mit räumlich beschränkter Gültigkeit" Art. 2 Ziff. 4 Visakodex).</w:t>
      </w:r>
    </w:p>
    <w:p>
      <w:r>
        <w:rPr>
          <w:b/>
        </w:rPr>
        <w:t>E. 6.1</w:t>
      </w:r>
    </w:p>
    <w:p>
      <w:r>
        <w:t>Die Vorinstanz verweigerte die Erteilung des beantragten Schengen-Visums mit der Begründung, die anstandslose und fristgerechte Wiederausreise erscheine nicht als hinreichend gesichert.</w:t>
      </w:r>
    </w:p>
    <w:p>
      <w:r>
        <w:rPr>
          <w:b/>
        </w:rPr>
        <w:t>E. 6.2</w:t>
      </w:r>
    </w:p>
    <w:p>
      <w:r>
        <w:t>Wie oben erwähnt, unterliegt die Gesuchstellerin als Staatsangehörige von Eritrea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konkreten Einzelfalles zu würdigen.</w:t>
      </w:r>
    </w:p>
    <w:p>
      <w:r>
        <w:rPr>
          <w:b/>
        </w:rPr>
        <w:t>E. 6.3</w:t>
      </w:r>
    </w:p>
    <w:p>
      <w:r>
        <w:t>Vorliegend ist zu prüfen, ob die Vorinstanz unter Berücksichtigung der Verhältnisse im Herkunftsland und der persönlichen Lebensumstände der Gesuchstellerin einen ermessensfehlerfreien Entscheid getroffen hat. Dabei rechtfertigt es sich, Einreisegesuchen von Personen aus Staaten mit politisch und/oder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7.1</w:t>
      </w:r>
    </w:p>
    <w:p>
      <w:r>
        <w:t>Eritrea ist ein in sechs Provinzen aufgeteilter Zentralstaat, deren Verfassung von 1997 nie in Kraft getreten ist. Alle wesentlichen Entscheidungen werden vom Präsidenten getroffen; eine Gewaltenteilung existiert nicht. Die Justiz ist als Teil des Justizministeriums von diesem abhängig, wobei es Sondergerichte gibt. Die Ausübung von Grundrechten, wie z.B. Rede- und Meinungsfreiheit, Versammlungs- und Religionsfreiheit, ist nicht oder nur extrem eingeschränkt möglich. Zahlreiche Regimekritiker wurden seit 2001 ohne rechtsstaatliches Verfahren verhaftet und sind seit Jahren ohne jeden Kontakt zur Aussenwelt an geheimen Orten inhaftiert. Die innenpolitische, wirtschaftliche und soziale Lage in Eritrea wird seit Jahren in erster Linie durch den ungelösten Grenzkonflikt mit Äthiopien bestimmt. Folgen sind unter anderem die weitgehende Militarisierung der Gesellschaft und ein Zurückdrängen der Privatwirtschaft durch staatlich gelenkte Wirtschaftsunternehmen. Mit einem Bruttoinlandprodukt von 771 US-Dollar pro Kopf gehört Eritrea zu den ärmsten Ländern der Welt. Es nimmt unter 188 Staaten den 179. Platz im Human Development Index 2015 des UNDP (Entwicklungsprogramm der Vereinten Nationen) ein (Quelle: Deutsches Auswärtiges Amt, im Internet unter www.auswaertiges-amt.de &gt; Aussen- und Europapolitik &gt; Länderinformationen &gt; Eritrea &gt; Innenpolitik bzw. Wirtschafts- und Umweltpolitik, Stand: Juni 2017, besucht im Januar 2018). Vor diesem Hintergrund erstaunt es nicht, dass die eritreische Gemeinschaft in der Schweiz in den letzten Jahren bedeutenden Zuwachs erhalten hat. Dies insbesondere durch den markanten Anstieg von Asylsuchenden (Quelle: Philipp Eyer / Régine Schweizer, Die somalische und die eritreische Diaspora in der Schweiz, Bundesamt für Migration [Hrsg.], August 2010, S. 29). Gemäss der schweizerischen Asylstatistik stellten Personen aus Eritrea im letzten Jahr mit 3'375 Gesuchen nach wie vor die grösste Gruppe von Asylsuchenden, obwohl sich deren Zahl gegenüber den Vorjahren stark verringert hat (2016: 5'178 Gesuche, 2015: 9'966 Gesuche; Quelle: Staatssekretariat für Migration, www.sem.admin.ch &gt; Publikationen &amp; Service &gt; Statistiken &gt; Asylstatistik &gt; Asylstatistik 2017, S. 13).</w:t>
      </w:r>
    </w:p>
    <w:p>
      <w:r>
        <w:rPr>
          <w:b/>
        </w:rPr>
        <w:t>E. 7.2</w:t>
      </w:r>
    </w:p>
    <w:p>
      <w:r>
        <w:t>Vor diesem Hintergrund besteht - wie oben erwähnt - vielfach der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 Der Beschwerdeführer bringt in diesem Zusammenhang vor, die Berufung auf die Zuwanderung aus der Herkunftsregion seiner Mutter sowie der Hinweis auf die in zahlreichen Fällen gemachten Erfahrungen verstosse gegen das Diskriminierungsverbot gemäss Art. 8 Abs. 2 BV. Dazu ist klarzustellen, dass es in der Tat zu schematisch und nicht haltbar wäre, generell und ohne spezifische Anhaltspunkte, ausschliesslich aufgrund der allgemeinen Lage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und/oder wirtschaftlich vergleichsweise ungünstigen Verhältnissen darauf hindeuten, dass die persönliche Interessenlage in solchen Fällen nicht mit dem Ziel und Zweck einer zeitlich befristeten Einreisebewilligung in Einklang steht (vgl. etwa Urteil des BVGer C-2983/2015 vom 7. Oktober 2015 E. 5.3 m.H.).</w:t>
      </w:r>
    </w:p>
    <w:p>
      <w:r>
        <w:rPr>
          <w:b/>
        </w:rPr>
        <w:t>E. 7.3</w:t>
      </w:r>
    </w:p>
    <w:p>
      <w:r>
        <w:t>Bei der Risikoanalyse sind allerdings nicht nur solch allgemeine Umstände und Erfahrungen, sondern auch - wie erwähnt -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So muss denn auch für Staatsangehörige aus Eritrea die Möglichkeit bestehen, eine Einreisebewilligung zu erhalten, sofern die persönlichen Verhältnisse auf eine fristgerechte Rückkehr ins Heimatland schliessen lassen. Andererseits muss bei Personen, die in ihrer Heimat keine besonderen Verpflichtungen haben, das Risiko für ein ausländerrechtlich nicht regelkonformes Verhalten (nach bewilligter Einreise zu einem Besuchsaufenthalt) als hoch eingeschätzt werden.</w:t>
      </w:r>
    </w:p>
    <w:p>
      <w:r>
        <w:rPr>
          <w:b/>
        </w:rPr>
        <w:t>E. 8.1</w:t>
      </w:r>
    </w:p>
    <w:p>
      <w:r>
        <w:t>Vorab ist festzuhalten, dass sich aus den Visumsakten keine Hinweise ergeben, wonach sich die Schweizerische Vertretung in Khartum überhaupt mit den persönlichen Verhältnissen der Gesuchstellerin auseinandergesetzt hätte. Auf dem Visumsgesuch befindet sich lediglich ein handgeschriebener Vermerk, dass die (ursprünglich) beantragte Aufenthaltsdauer von 180 Tagen "viel zu lang" sei.</w:t>
      </w:r>
    </w:p>
    <w:p>
      <w:r>
        <w:rPr>
          <w:b/>
        </w:rPr>
        <w:t>E. 8.2</w:t>
      </w:r>
    </w:p>
    <w:p>
      <w:r>
        <w:t>Bei der Gesuchstellerin handelt es sich um eine mittlerweile 64-jährige verwitwete Hausfrau und Mutter, welche in einer gut ausgestatteten 2 ½-Zimmerwohnung mit eigenem Garten, Bad und Küche lebt. Den Angaben des Beschwerdeführers zufolge sollen noch vier weitere Söhne und eine Tochter der Gesuchstellerin mit ihren Angehörigen in Eritrea leben. Dort soll sich die Eingeladene tagtäglich um ihre Kinder kümmern und abwechselnd ihre zahlreichen Enkelkinder betreuen. Diese Gegebenheiten sprechen für eine intakte soziale Struktur und einen engen familiären und gesellschaftlichen Bezug zum Heimatland. Insbesondere der Umstand, dass die Gesuchstellerin für die Dauer des beabsichtigten Aufenthaltes in der Schweiz zahlreiche engste Angehörige in Eritrea zurücklassen würde, lässt auf persönliche Verpflichtungen und daraus auf eine gewisse Verwurzelung schliessen, was die Gefahr einer Emigration im Vergleich zu jüngeren, im Erwerbsleben stehenden und ungebundenen Landsleuten relativiert (vgl. auch Urteil des BVGer F-2032/2016 vom 23. Januar 2017 E. 7.2 m.H.).</w:t>
      </w:r>
    </w:p>
    <w:p>
      <w:r>
        <w:rPr>
          <w:b/>
        </w:rPr>
        <w:t>E. 8.3</w:t>
      </w:r>
    </w:p>
    <w:p>
      <w:r>
        <w:t>Soweit die Vorinstanz auf die schwierigen wirtschaftlichen Verhältnisse und in diesem Zusammenhang auf den starken Zuwanderungsdruck verweist, gilt es festzuhalten, dass die Eingeladene schon aufgrund ihres Alters nicht zu jener Personengruppe gehört, von der das grösste Emigrationsrisiko ausgeht. Zudem geht sie als Rentnerin und Hausfrau ohnehin keiner bezahlten Erwerbstätigkeit mehr nach, sondern besorgt in dieser Funktion die ganze oder zumindest einen Grossteil der Haus- bzw. Betreuungsarbeit für ihre nächsten Angehörigen. Der Beschwerdeführer bringt im Weiteren vor, seine Mutter lebe in vergleichsweise guten finanziellen Verhältnissen in Eritrea, da sie lange Zeit als (Haus-)Angestellte in Kuweit tätig gewesen sei und daher von ihrem damaligen Arbeitgeber eine monatliche Rente von 200-300 US-Dollar erhalte, mit welcher sie sogar ihre Angehörigen in Eritrea finanziell unterstützen könne. Der Beschwerdeführer weist schliesslich darauf hin, dass das angesparte Guthaben der Gesuchstellerin auf der "Housing Bank of Eritrea Sharing Company" rund 585'000 ERN (umgerechnet ca. Fr. 36'000) betrage, was mit einem entsprechenden Kontoauszug belegt wurde (vgl. Beilage 16 der Beschwerdeschrift). Dieses Geld sei für den Kauf eines Hauses vorgesehen, welches seine Mutter aufgrund der politischen Situation bislang nicht habe erwerben können; sie sei jedoch auf den vorderen Plätzen der entsprechenden Warteliste. Komme hinzu, dass sie Anlagen in Gold von rund 400 Gramm mit einem aktuellen Marktwert von rund Fr. 16'000.- besitze. Nach dem Gesagten dürfte die Gesuchstellerin somit in stabilen wirtschaftlichen Verhältnissen leben, was denn auch von der Vorinstanz an sich nicht in Frage gestellt wurde. Aufgrund der Aktenlage ist demnach davon auszugehen, dass die Eingeladene über eine relativ gesicherte wirtschaftliche Existenz in ihrem Heimatland verfügt, die geeignet ist, das Risiko einer nicht fristgerechten Wiederausreise nach einem Besuchsaufenthalt in der Schweiz entscheidend herabzusetzen.</w:t>
      </w:r>
    </w:p>
    <w:p>
      <w:r>
        <w:rPr>
          <w:b/>
        </w:rPr>
        <w:t>E. 8.4</w:t>
      </w:r>
    </w:p>
    <w:p>
      <w:r>
        <w:t>Insgesamt betrachtet verfügt die Gesuchstellerin somit durchaus über eine massgebliche familiäre wie auch wirtschaftliche Verankerung im Heimatland. Zudem gehört sie - wie oben erwähnt - bereits aufgrund ihres Alters nicht (mehr) zur Kategorie der typischen Emigranten aus Eritrea (vgl. www.sem.admin.ch Publikationen &amp; Service Statistiken Asylstatistik Asylstatistik 2017, S. 12, Grafik 7: Asylsuchende nach Geschlecht und Altersklassen [ohne vorläufig Aufgenommene]). Hinzu kommt, dass sich die beantragte 90-tägige Auslandabwesenheit auch mit ihrem Rentnerdasein verträgt.</w:t>
      </w:r>
    </w:p>
    <w:p>
      <w:r>
        <w:rPr>
          <w:b/>
        </w:rPr>
        <w:t>E. 8.5</w:t>
      </w:r>
    </w:p>
    <w:p>
      <w:r>
        <w:t>Nicht ausser Acht gelassen werden darf schliesslich der Umstand, dass es sich bei der Gesuchstellerin, welche ihr ganzes bisheriges Leben in Eritrea bzw. als Arbeitskraft in Kuweit verbracht hat, um die Mutter des Beschwerdeführers handelt. Dieser war vor den Wirren der eritreischen Diktatur geflohen und im Jahre 2008 in die Schweiz eingereist, nachdem er als ein im Land anerkannter Journalist an Leib und Leben bedroht worden war. Entsprechend wurde ihm in der Schweiz der Flüchtlingsstatus zuerkannt und Asyl gewährt (vgl. Asylentscheid des BFM vom 12. Juni 2009). Der Wunsch von Mutter und Sohn, sich nach vielen Jahren der Trennung wieder einmal zu treffen, ist ohne Weiteres nachvollziehbar.</w:t>
      </w:r>
    </w:p>
    <w:p>
      <w:r>
        <w:rPr>
          <w:b/>
        </w:rPr>
        <w:t>E. 8.6</w:t>
      </w:r>
    </w:p>
    <w:p>
      <w:r>
        <w:t>Nach dem Gesagten dürfte die Gesuchstellerin somit kaum Anlass zum (definitiven) Verlassen ihres Landes haben. Im Weiteren darf davon ausgegangen werden, dass der Beschwerdeführer, welcher von allem Anfang an seine Mitwirkungspflicht bei der Abklärung des rechtserheblichen Sachverhalts wahrgenommen und die von ihm verlangten Auskünfte erteilt bzw. die notwendigen Belege eingereicht hat, als Gastgeber zweifellos besorgt sein wird, dass seine Mutter die Schweiz termingerecht verlassen wird. Dies umso mehr, als er in der Schweiz sehr gut integriert ist und als Übersetzer für das Schweizerische Rote Kreuz, die Caritas und eine weitere soziale Institution eine Vertrauensstellung innehat.</w:t>
      </w:r>
    </w:p>
    <w:p>
      <w:r>
        <w:rPr>
          <w:b/>
        </w:rPr>
        <w:t>E. 9</w:t>
      </w:r>
    </w:p>
    <w:p>
      <w:r>
        <w:t>Zusammenfassend ist somit festzuhalten, dass der Gesuchstellerin die Erteilung eines Visums nicht mit der Begründung verweigert werden kann, die Wiederausreise erscheine nicht gesichert, auch wenn das Risiko für eine Missachtung ausländerrechtlicher Normen naturgemäss nie gänzlich ausgeschlossen werden kann. Indem die Vorinstanz den rechtserheblichen Sachverhalt wesentlich anders beurteilt hat, hat sie Bundesrecht verletzt (vgl. Art. 49 Bst. a VwVG). Die Beschwerde ist daher gutzuheissen, die angefochtene Verfügung aufzuheben und die Sache zur neuerlichen Beurteilung an die Vorinstanz zurückzuweisen. Dabei bleibt von der Vorinstanz zu prüfen, ob die übrigen Einreisevoraussetzungen (vgl. E. 5) erfüllt sind.</w:t>
      </w:r>
    </w:p>
    <w:p>
      <w:r>
        <w:rPr>
          <w:b/>
        </w:rPr>
        <w:t>E. 10.1</w:t>
      </w:r>
    </w:p>
    <w:p>
      <w:r>
        <w:t>Entsprechend dem Ausgang des Verfahrens sind weder dem Beschwerdeführer noch der Vorinstanz Kosten aufzuerlegen (Art. 63 Abs. 1 und 2 VwVG) und der geleistete Kostenvorschuss ist zurückzuerstatten.</w:t>
      </w:r>
    </w:p>
    <w:p>
      <w:r>
        <w:rPr>
          <w:b/>
        </w:rPr>
        <w:t>E. 10.2</w:t>
      </w:r>
    </w:p>
    <w:p>
      <w:r>
        <w:t>Der Beschwerdeführer hat gemäss Art. 64 Abs. 1 VwVG Anrecht auf eine Parteientschädigung für die ihm erwachsenen notwendigen Kosten (vgl. auch Art. 7 ff. des Reglements vom 21. Februar 2008 über die Kosten und Entschädigungen vor dem Bundesverwaltungsgericht [VGKE, SR 173.320.2]). Das Gericht setzt die Parteientschädigung aufgrund der Kostennote fest (14 Abs. 2 VGKE). Der Beschwerdeführer reichte mit Schreiben vom 16. Januar 2018 eine solche ein. Der Rechtsvertreter stellt darin für Honorar und Auslagen - für das Einspracheverfahren beim SEM wie auch das Beschwerdeverfahren vor dem Bundesverwaltungsgericht - eine Entschädigung von insgesamt Fr. 6'371.05 (inkl. MWST) in Rechnung. In Berücksichtigung des Umstandes, dass für das vorinstanzliche Verfahren keine Parteientschädigung vorgesehen ist bzw. Art. 64 VwVG nur in Verwaltungsbeschwerdeverfahren zur Anwendung gelangt (vgl. hierzu Marcel maillard, in: Praxiskommentar VwVG, 2. Aufl. 2016, Art. 64 N. 1 und 2, Michael beusch, in: Kommentar zum Bundesgesetz über das Verwaltungsverfahren [VwVG], 2008, Rz. 2 zu Art. 64 N. 2 oder Yero Diagne, La procédure de modération des honoraires de l'avocat, Diss. Lausanne, 2012, S. 42; vgl. auch Urteil des BVGer F-299/2018 vom 29. Januar 2018), in Anbetracht der Notwendigkeit der Ausführungen, des (eher mässigen) Schwierigkeitsgrades der Streitsache in rechtlicher und tatsächlicher Hinsicht, der aktenkundigen Bemühungen sowie der Bandbreite der bislang ausgerichteten Entschädigungen für vergleichbare Fälle ist der Gesamtaufwand nach Massgabe der einschlägigen Bestimmungen auf Fr. 2'000.- festzusetzen (inkl. Auslagen und Mehrwertsteuerzuschlag im Sinne von Art. 9 Abs. 1 Bst. c VGKE). Diese Entschädigung geht zu Lasten der Vor-instanz (vgl. Art. 64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