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F-7159/2023 vom 23. November 2023</w:t>
      </w:r>
    </w:p>
    <w:p>
      <w:r>
        <w:t>Bundesverwaltungsgericht, 2023-11-23, DE</w:t>
      </w:r>
    </w:p>
    <w:p>
      <w:r>
        <w:rPr>
          <w:b/>
        </w:rPr>
        <w:t xml:space="preserve">Quelle: </w:t>
      </w:r>
      <w:r>
        <w:t>https://mcp.opencaselaw.ch/entscheid/bvger_F-7159_2023_d20231123</w:t>
      </w:r>
    </w:p>
    <w:p>
      <w:r>
        <w:t>FR: TAF F-7159/2023 du 23 novembre 2023</w:t>
      </w:r>
    </w:p>
    <w:p>
      <w:r>
        <w:t>IT: TAF F-7159/2023 del 23 novembre 2023</w:t>
      </w:r>
    </w:p>
    <w:p>
      <w:pPr>
        <w:pStyle w:val="Heading2"/>
      </w:pPr>
      <w:r>
        <w:t>Regeste</w:t>
      </w:r>
    </w:p>
    <w:p>
      <w:r>
        <w:t>Schengen-Visum | Schengen-Visum; Verfügung des SEM vom 23. November 2023</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Gastgeber durch den angefochtenen Entscheid besonders berührt. Obwohl der ursprünglich angestrebte Besuchszeitraum inzwischen abgelaufen ist, kann auf ein fortbestehendes Rechtsschutzin- teresse geschlossen werden. Der Beschwerdeführer ist daher zur Erhe- bung des Rechtsmittels legitimiert (Art. 48 Abs. 1 VwVG). Auf die im Übri- 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t>F-7159/2023 Seite 4</w:t>
      </w:r>
    </w:p>
    <w:p>
      <w:r>
        <w:rPr>
          <w:b/>
        </w:rPr>
        <w:t>E. 3.1</w:t>
      </w:r>
    </w:p>
    <w:p>
      <w:r>
        <w:t>Der Beschwerdeführer rügt in formeller Hinsicht, der Sachverhalt sei unvollständig festgestellt worden. Er bringt zwar nicht konkret vor, inwiefern dies der Fall sein soll; aus dem Kontext ergibt sich jedoch, dass er der Vorinstanz vorwirft, die familiären und gesellschaftlichen Verpflichtungen der Gesuchstellerin nicht genügend abgeklärt zu haben.</w:t>
      </w:r>
    </w:p>
    <w:p>
      <w:r>
        <w:rPr>
          <w:b/>
        </w:rPr>
        <w:t>E. 3.2</w:t>
      </w:r>
    </w:p>
    <w:p>
      <w:r>
        <w:t>Im Verwaltungsverfahren gilt der Untersuchungsgrundsatz (Art. 12 ff. VwVG). Die Behörden sorgen für die richtige und vollständige Abklärung des rechtserheblichen Sachverhalts (BGE 140 I 285 E. 6.3.1). Die unrich- tige oder unvollständige Feststellung des rechtserheblichen Sachverhalts kann nach Art. 49 Bst. b VwVG gerügt werden. Unrichtig ist die Sachver- haltsfeststellung beispielsweise dann, wenn der Verfügung ein aktenwidri- ger beziehungsweise nicht weiter belegbarer Sachverhalt zugrunde gelegt wurde. Unvollständig ist die Sachverhaltsfeststellung dann, wenn die Be- hörde trotz der geltenden Untersuchungsmaxime den Sachverhalt nicht von Amtes wegen rechtsgenüglich abgeklärt oder nicht alle für den Ent- scheid wesentlichen Sachumstände berücksichtigt hat (vgl. BENJAMIN SCHINDLER, in: Kommentar zum VwVG, 2. Aufl. 2019, Art. 49 N. 29). Der Untersuchungsgrundsatz gilt indes nicht uneingeschränkt, sondern er fin- det sein Korrelat in der Mitwirkungspflicht der Parteien gemäss Art. 13 VwVG (vgl. BVGE 2015/4 E. 3.2 m.H.).</w:t>
      </w:r>
    </w:p>
    <w:p>
      <w:r>
        <w:rPr>
          <w:b/>
        </w:rPr>
        <w:t>E. 3.3</w:t>
      </w:r>
    </w:p>
    <w:p>
      <w:r>
        <w:t>Die im Rahmen der Beschwerdeschrift vorgebrachte familiäre Ver- pflichtung der Gesuchstellerin – ihren Ehemann im Gefängnis zu besu- chen, ihm regelmässig Kleider zu bringen und monatlich Geld zu überwei- sen – erwähnte weder die Gesuchstellerin im Rahmen des Visumsantrags, noch der Beschwerdeführer im Einspracheverfahren. Das räumt der Be- schwerdeführer auch in der Beschwerdeschrift ein, indem er ausführt, zu bedauern, seine Argumente für die zwingende Rückkehr der Gesuchstel- lerin nach Istanbul nicht in einem früheren Verfahrensstand aufgeführt zu haben. Da die Gesuchstellerin sowie der Beschwerdeführer ihrer Mitwir- kungspflicht (vgl. E. 3.3) nicht nachgekommen sind, kann der Vorinstanz keine unvollständige Sachverhaltsfeststellung vorgeworfen werden.</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w:t>
      </w:r>
    </w:p>
    <w:p>
      <w:r>
        <w:t>F-7159/2023 Seite 5 Einreise und Visum aufstellt und die Mitgliedstaaten verpflichtet, die Ein- reise bzw. das Visum zu verweigern, wenn die Voraussetzungen nicht er- füllt sind. Liegen keine Ablehnungsgründe vor, ist das Visum auszustellen; ein Rechtsfolgeermessen besteht nicht (so das Urteil des Europäischen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w:t>
      </w:r>
    </w:p>
    <w:p>
      <w:r>
        <w:t>F-7159/2023 Seite 6 Behörden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Aufgrund ihrer Staatsangehörigkeit unterliegt die Gesuchstellerin der Vi- sumspflicht. Bei der Prüfung der Einreisevoraussetzungen nach Art. 6 Abs. 1 SGK ist die Frage der gesicherten Wiederausreise zentral.</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5.2</w:t>
      </w:r>
    </w:p>
    <w:p>
      <w:r>
        <w:t>Die Türkei befindet sich in einer schwierigen wirtschaftlichen Lage, auch wenn deren Wirtschaft infolge der Konsumausgaben der Bevölkerung</w:t>
      </w:r>
    </w:p>
    <w:p>
      <w:r>
        <w:t>F-7159/2023 Seite 7 derzeit ein Wachstum ausweist. Im März 2024 betrug die Inflation in der Türkei gemäss dem türkischen Statistikinstitut Tüik 68.5 Prozent. Das ist der höchste Wert seit Ende 2022. Ein Grund für die hohe Inflation ist der deutliche Wertverlust der türkischen Lira (vgl. &lt; https://www.zeit.de/wirt- schaft/2024-04/tuerkei-inflation-preise-waehrung-erdogan &gt; 03.04.2024, abgerufen am 08.10.2024). Weiterhin angespannt bleibt auch die innenpo- litische Situation. In den grösseren Städten kann es wegen innenpolitischer Spannungen sowie im Zusammenhang mit den bewaffneten Auseinander- setzungen in Israel und dem Besetzten Palästinensischen Gebiet (insbe- sondere Gaza) zu Demonstrationen und Ausschreitungen kommen. Die bewaffneten Konflikte in den Nachbarländern Syrien und Irak können so- dann, auch kurzfristig, Auswirkungen auf die Sicherheitslage haben, insbe- sondere in den Grenzregionen. Trotz erhöhter Sicherheitsmassnahmen besteht das Risiko von Terroranschlägen jederzeit im ganzen Land, vor al- lem in den grösseren Städten (vgl. &lt; https://www.eda.admin.ch &gt; Reisehin- weise &amp; Vertretungen &gt; Türkei &gt; Reisehinweise für die Türkei, abgerufen am 08.10.2024).</w:t>
      </w:r>
    </w:p>
    <w:p>
      <w:r>
        <w:rPr>
          <w:b/>
        </w:rPr>
        <w:t>E. 5.3</w:t>
      </w:r>
    </w:p>
    <w:p>
      <w:r>
        <w:t>Vor diesem Hintergrund ist nicht zu beanstanden, dass die Vorinstanz das Risiko einer nicht fristgerechten Wiederausreise von Besucherinnen und Besuchern aus der Türkei allgemein als hoch einschätzt.</w:t>
      </w:r>
    </w:p>
    <w:p>
      <w:r>
        <w:rPr>
          <w:b/>
        </w:rPr>
        <w:t>E. 5.4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erleichtern kann. Angesichts der restriktiven Zulas- sungsregelung führt dies nicht selten zur Umgehung von ausländer-recht- lichen Bestimmungen, indem die Gesuchstellenden – einmal eingereist –</w:t>
      </w:r>
    </w:p>
    <w:p>
      <w:r>
        <w:t>F-7159/2023 Seite 8 versuchen, den Aufenthalt auf eine andere rechtliche Basis abzustützen (BVGE 2014/1 E. 6.2.2).</w:t>
      </w:r>
    </w:p>
    <w:p>
      <w:r>
        <w:rPr>
          <w:b/>
        </w:rPr>
        <w:t>E. 6.1.1</w:t>
      </w:r>
    </w:p>
    <w:p>
      <w:r>
        <w:t>Der Beschwerdeführer führt im Rahmen der Beschwerdeschrift in Be- zug auf die sozialen und familiären Verpflichtungen der Gesuchstellerin aus, sie verfüge in ihrem Heimatland weit über das übliche Mass gehende Verpflichtungen persönlicher oder gesellschaftlicher Natur. Ihr Ehemann sei zu 6 Jahren Gefängnis (Jahre 2019 bis 2025) verurteilt worden (recte: gemäss beigelegtem Strafurteil vom 27. Dezember 2022 wurde der Ehe- mann zu 8 Jahren und 9 Monaten Freiheitsstrafe – bis im Juni 2028 – ver- urteilt); die türkische Justiz bezeichne ihn als kurdischen Terroristen. Sie besuche ihn einmal pro Woche. Diese Besuche seien für die psychische Verfassung des Ehemanns sehr wichtig. Sodann müsse sie ihm regelmäs- sig Kleider bringen, wofür die Angehörigen verantwortlich seien. Sie müsse ihm zudem monatlich rund Fr. 150.– auf sein Gefängniskonto überweisen, damit sein Essen angereichert werde (ansonsten gäbe es beispielsweise keine Früchte oder kein Gemüse). Es gebe keine anderen Angehörigen, welche diese Aufgaben übernehmen könnten. Ihre Tochter lebe in Istanbul und leide unter erheblichen psychischen Störungen, weshalb sie von der Gesuchstellerin eng betreut werde. Die Tochter könne aus gesundheitli- chen Gründen die Betreuung ihres Vaters im Gefängnis nicht übernehmen. Der Gefängnisaufenthalt des Ehemannes sowie die Krankheit der Tochter würden es zwingend notwendig machen, dass die Gesuchstellerin nach einem Kurzaufenthalt in der Schweiz nach Istanbul zurückkehre. In der Replik bringt der Beschwerdeführer ergänzend vor, der Ehemann der Ge- suchstellerin sei am 19. Februar 2024 zu weiteren 3 Jahren, 1 Monat und 15 Tagen Freiheitsstrafe verurteilt worden. Er – der Beschwerdeführer – lebe als anerkannter Flüchtling in der Schweiz, ein weiterer Sohn der Ge- suchstellerin als anerkannter Flüchtling im Irak und ein letzter Sohn lebe in Norwegen.</w:t>
      </w:r>
    </w:p>
    <w:p>
      <w:r>
        <w:rPr>
          <w:b/>
        </w:rPr>
        <w:t>E. 6.1.2</w:t>
      </w:r>
    </w:p>
    <w:p>
      <w:r>
        <w:t>Bei der Gesuchstellerin handelt es sich um die (…)-jährige Mutter des Beschwerdeführers. Aktenkundig ist, dass der Ehemann der Gesuchstelle- rin in der Türkei tatsächlich wie geltend gemacht im Jahr 2022 zu 8 Jahren und 9 Monaten sowie im Jahr 2024 zu weiteren 3 Jahren, 1 Monat und 15 Tagen Freiheitsstrafe verurteilt worden ist (gemäss Rechtskraftsver- merk vom 3. November 2022 lautet die Straftat «Mitglied der bewaffneten Terrororganisation»). Dass die Gesuchstellerin ihren Ehemann wöchentlich im Gefängnis besucht, ihm bei Bedarf neue Kleider bringt sowie monatlich</w:t>
      </w:r>
    </w:p>
    <w:p>
      <w:r>
        <w:t>F-7159/2023 Seite 9 Geld überweist, wird nicht belegt. Aufgrund der geschilderten Umstände, der ausgewiesenen Situation in türkischen Gefängnissen sowie der sub- stantiiert dargelegten Abwesenheit von anderen nahen Verwandten, die diese Verantwortung übernehmen könnten, kann zwar nicht ausgeschlos- sen werden, dass die Gesuchstellerin diese Aufgaben tatsächlich – zumin- dest teilweise – vornimmt. Indessen wäre es ihr zumutbar gewesen, Belege betreffend die behaupteten Besuche im Gefängnis vorzulegen, was sie un- terlassen hat. Auch die geltend gemachte psychische Krankheit ihrer Toch- ter sowie deren Abhängigkeit von der Gesuchstellerin wird weder substan- tiiert dargelegt noch belegt. Daher besteht keine familiäre Verpflichtung der Gesuchstellerin, welche sie von einer Emigration abhalten könnte.</w:t>
      </w:r>
    </w:p>
    <w:p>
      <w:r>
        <w:rPr>
          <w:b/>
        </w:rPr>
        <w:t>E. 6.1.3</w:t>
      </w:r>
    </w:p>
    <w:p>
      <w:r>
        <w:t>Im Rahmen einer Gesamtbeurteilung ist der Gesuchstellerin jedoch entgegenzuhalten, dass in ihrem nächsten familiären Umfeld ein eindeuti- ger Migrationswille vorliegt (so leben alle drei Söhne im Ausland, nament- lich in der Schweiz, im Irak und in Norwegen). Dabei ist belegt, dass es sich beim Beschwerdeführer um einen anerkannten Flüchtling handelt; ob seine beiden Brüder auch als Flüchtlinge anerkannt worden sind, ist dage- gen nicht belegt. Sodann verfügt die Gesuchstellerin in der Schweiz durch den hier lebenden Sohn über ein vorbestehendes familiäres Beziehungs- netz, was das Emigrationsrisiko erhöht (vgl. E. 5.4). Zudem lebt ein weite- rer Sohn der Gesuchstellerin in Norwegen und somit ebenfalls im Schen- gen-Raum. Der Umstand, dass der Ehemann aufgrund «Mitgliedschaft in bewaffneter Terrororganisation» zu knapp 12 Jahren Freiheitsstrafe verur- teilt und mindestens ein Sohn der Gesuchstellerin – der Beschwerdeführer – als Flüchtling anerkannt worden ist, erhöht das Risiko, dass sich die Ge- suchstellerin als Mutter und Ehefrau der Betroffenen in der Türkei ebenfalls persönlich in Gefahr sieht, was wiederum das Emigrationsrisiko erhöht. Aufgrund dessen vermag die bestehende familiäre Verpflichtung der Ge- suchstellerin in der Türkei die Bedenken an einer rechtzeitigen Wiederaus- reise nicht aus dem Weg zu räumen.</w:t>
      </w:r>
    </w:p>
    <w:p>
      <w:r>
        <w:rPr>
          <w:b/>
        </w:rPr>
        <w:t>E. 6.2.1</w:t>
      </w:r>
    </w:p>
    <w:p>
      <w:r>
        <w:t>Sodann führt der Beschwerdeführer in Bezug auf die finanziellen Ver- hältnisse sowie die beruflichen Verpflichtungen der Gesuchstellerin aus, sie verdiene Fr. 548.– pro Monat, ihr pensionierter Ehemann erhalte eine Rente von Fr. 322.–. Sie sei Eigentümerin einer Wohnung in der Türkei mit einem Wert von rund Fr. 50'000.–. Ihre Einkommens- und Vermögensver- hältnisse würden ihren Lebensbedarf decken. Für die ordnungsgemässe Rückkehr der Gesuchstellerin spreche zusätzlich, dass die finanziellen Verhältnisse der Ehegatten für türkische Verhältnisse nicht bescheiden</w:t>
      </w:r>
    </w:p>
    <w:p>
      <w:r>
        <w:t>F-7159/2023 Seite 10 seien. Es liege keine wirtschaftliche Not vor, welche die Gesuchstellerin veranlassen könnte, rechtswidrig in der Schweiz zu verbleiben. In einem solchen Fall würde sie zudem ihre Arbeitsstelle verlieren.</w:t>
      </w:r>
    </w:p>
    <w:p>
      <w:r>
        <w:rPr>
          <w:b/>
        </w:rPr>
        <w:t>E. 6.2.2</w:t>
      </w:r>
    </w:p>
    <w:p>
      <w:r>
        <w:t>In Bezug auf die wirtschaftlichen Verhältnisse ist aktenkundig, dass der Ehemann der Gesuchstellerin im März 2024 eine Rente von monatlich rund 11'450.– türkischen Lira erhielt (Fr. 320.–, Umrechnungskurs am 25. März 2024). In Bezug auf die Gesuchstellerin ist belegt, dass sie als Kochassistentin in einem Restaurant in Istanbul arbeitet und in den Mona- ten Januar und Februar 2024 einen Netto-Lohn von monatlich 20'002.50 türkischen Lira (Fr. 566.–, Umrechnungskurs am 29. Februar 2024) erzielte. Gemäss Bankbestätigungen verfügte die Gesuchstellerin per Ende Februar 2023 über ein Vermögen von umgerechnet Fr. 2'517.– (Umrechnungskurs am 28.02.2023). Die Gesuchstellerin ist sodann Eigen- tümerin eines Grundstücks in der Provinz Istanbul. Ob der Marktwert tat- sächlich – wie vorgebracht – rund Fr. 50'000.– beträgt, wird nicht belegt. Hierzu gilt es jedoch zu bedenken, dass selbst Grundeigentum keine hin- reichende Gewähr für eine fristgerechte und anstandslose Wiederausreise der Gesuchstellerin bietet, da Grundeigentum und andere Vermögens- werte bei einer Emigration nicht zwingend verloren gehen (vgl. BVGE 2014/1 E. 6.3.6; Urteil des BVGer F-5892/2023 vom 29. April 2024 E. 4.4). Die dargelegten wirtschaftlichen Verhältnisse können zwar als aus- reichend – jedoch nicht als ausserordentlich gut – bezeichnet werden. Sie sind im vorliegenden Fall ebenfalls nicht geeignet, die Prognose für eine fristgerechte Wiederausreise zu begünstigen.</w:t>
      </w:r>
    </w:p>
    <w:p>
      <w:r>
        <w:rPr>
          <w:b/>
        </w:rPr>
        <w:t>E. 6.3</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 suchsaufenthalt besteht. Zwar ist der infrage stehende Aufenthaltszweck zeitlich und inhaltlich klar umrissen – nämlich ein rund zweiwöchiger Be- such bei ihrem in der Schweiz lebenden Sohn zur Teilnahme an dessen Hochzeit –, dennoch lassen die persönlichen Lebensumstände der Ge- suchstellerin in der Türkei – soweit bekannt – nicht auf eine ausreichende Gewähr für die fristgerechte Wiederausreise schliessen.</w:t>
      </w:r>
    </w:p>
    <w:p>
      <w:r>
        <w:rPr>
          <w:b/>
        </w:rPr>
        <w:t>E. 6.4</w:t>
      </w:r>
    </w:p>
    <w:p>
      <w:r>
        <w:t>An dieser Einschätzung vermag die – aufgrund fehlender finanzieller Mittel des Beschwerdeführers – durch einen Freund des Beschwerdefüh- rers unterzeichnete Verpflichtungserklärung nichts zu ändern. An seinen guten Absichten ist hierbei nicht zu zweifeln. Jedoch gilt es zu bedenken,</w:t>
      </w:r>
    </w:p>
    <w:p>
      <w:r>
        <w:t>F-7159/2023 Seite 11 dass er in seiner Eigenschaft als Gastgeber – respektive sein Freund zu seinen Gunsten – zwar für gewisse finanzielle Risiken Garantie leisten kann, nicht aber – mangels rechtlicher und faktischer Durchsetzbarkeit – für ein bestimmtes Verhalten der eingeladenen Personen (vgl. BVGE 2014/1 E. 6.3.7 und BVGE 2009/27 E. 9). Demnach wurde der Gesuchstel- lerin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7</w:t>
      </w:r>
    </w:p>
    <w:p>
      <w:r>
        <w:t>Die angefochtene Verfügung erweist sich somit im Lichte von Art. 49 VwVG als rechtmässig und die Beschwerde ist abzuweisen.</w:t>
      </w:r>
    </w:p>
    <w:p>
      <w:r>
        <w:rPr>
          <w:b/>
        </w:rPr>
        <w:t>E. 8</w:t>
      </w:r>
    </w:p>
    <w:p>
      <w:r>
        <w:t>Angesichts des Verfahrensausgangs wären die Kosten grundsätzlich dem unterliegenden Beschwerdeführer aufzuerlegen (vgl. Art. 63 Abs. 1 VwVG i.V.m. Art. 1 ff. des Reglements vom 21. Februar 2008 über die Kosten und Entschädigungen vor dem Bundesverwaltungsgericht [VGKE, SR 173.320.2]). Da das Bundesverwaltungsgericht jedoch mit Verfügung vom 11. Januar 2024 das Gesuch des Beschwerdeführers um unentgeltli- che Prozessführung gemäss Art. 65 Abs. 1 VwVG gutgeheissen hat, ist er von der Bezahlung der Verfahrenskosten befreit. (Dispositiv nächste Seite)</w:t>
      </w:r>
    </w:p>
    <w:p>
      <w:r>
        <w:t>F-7159/2023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