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F-7159/2015 vom 17. November 2017</w:t>
      </w:r>
    </w:p>
    <w:p>
      <w:r>
        <w:t>Bundesverwaltungsgericht, 2017-11-17, DE</w:t>
      </w:r>
    </w:p>
    <w:p>
      <w:r>
        <w:rPr>
          <w:b/>
        </w:rPr>
        <w:t xml:space="preserve">Quelle: </w:t>
      </w:r>
      <w:r>
        <w:t>https://mcp.opencaselaw.ch/entscheid/bvger_F-7159_2015</w:t>
      </w:r>
    </w:p>
    <w:p>
      <w:r>
        <w:t>FR: TAF F-7159/2015 du 17 novembre 2017</w:t>
      </w:r>
    </w:p>
    <w:p>
      <w:r>
        <w:t>IT: TAF F-7159/2015 del 17 novembre 2017</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 Das Rechtsmittelverfahren richtet sich nach dem VwVG (Art. 37 VGG).</w:t>
      </w:r>
    </w:p>
    <w:p>
      <w:r>
        <w:rPr>
          <w:b/>
        </w:rPr>
        <w:t>E. 1.2</w:t>
      </w:r>
    </w:p>
    <w:p>
      <w:r>
        <w:t>Die Beschwerdeführerin ist zur Ergreifung des Rechtsmittels legitimiert. Auf ihre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w:t>
      </w:r>
    </w:p>
    <w:p>
      <w:r>
        <w:rPr>
          <w:b/>
        </w:rPr>
        <w:t>E. 4.1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4.2</w:t>
      </w:r>
    </w:p>
    <w:p>
      <w:r>
        <w:t>Die Nichtigerklärung der Einbürgerung hat innerhalb der von Art. 41 Abs. 1bis BüG festgelegten Fristen zu erfolgen. Diese wurden im Falle der Beschwerdeführerin eingehalten.</w:t>
      </w:r>
    </w:p>
    <w:p>
      <w:r>
        <w:rPr>
          <w:b/>
        </w:rPr>
        <w:t>E. 5.1</w:t>
      </w:r>
    </w:p>
    <w:p>
      <w:r>
        <w:t>Das Verfahren zur Nichtigerklärung der erleichterten Einbürgerung richtet sich nach den Bestimmungen des Verwaltungsverfahrensgesetzes (vgl. Art. 1 Abs. 1 und Abs. 2 Bst. cbis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140 II 65 E. 2.2 und 135 II 161 E. 3 je m.H.).</w:t>
      </w:r>
    </w:p>
    <w:p>
      <w:r>
        <w:rPr>
          <w:b/>
        </w:rPr>
        <w:t>E. 5.2</w:t>
      </w:r>
    </w:p>
    <w:p>
      <w:r>
        <w:t>Die natürliche Vermutung gehört zur freien Beweiswürdigung (vgl. Art. 19 VwVG i.V.m. Art. 40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6.1</w:t>
      </w:r>
    </w:p>
    <w:p>
      <w:r>
        <w:t>Die Vorinstanz geht von der Vermutung aus, dass die Beschwerdeführerin spätestens im Einbürgerungszeitpunkt nicht mehr in einer stabilen und zukunftsgerichteten Ehe mit ihrem Schweizer Ehemann gelebt und sich mit der gegenteiligen Erklärung vom 7. Januar 2014 die erleichterte Einbürgerung erschlichen habe.</w:t>
      </w:r>
    </w:p>
    <w:p>
      <w:r>
        <w:rPr>
          <w:b/>
        </w:rPr>
        <w:t>E. 6.2</w:t>
      </w:r>
    </w:p>
    <w:p>
      <w:r>
        <w:t>Dem Akteninhalt ist zu entnehmen, dass die Beschwerdeführerin - bereits seit 2005 zu Kurzaufenthalten der Schweiz berechtigt - anfangs 2007 ihren künftigen Ehemann kennenlernte, ihn rund ein Jahr später, am 25. Januar 2008, heiratete und infolgedessen eine Aufenthaltsbewilligung im Kanton Schwyz erhielt. Gestützt auf ihre Ehe stellte sie am 4. Juli 2013 ein Gesuch um erleichterte Einbürgerung. Diese erfolgte mit Verfügung vom 23. Januar 2014, rund zwei Wochen nachdem sie und ihr Ehemann unterschriftlich bestätigt hatten, in einer stabilen ehelichen Gemeinschaft zu leben. Am 26. August 2014 reichte die Beschwerdeführerin beim Bezirksgericht Schwyz ein Gesuch um Ehescheidung auf gemeinsames Begehren ein. Sie verliess die bisher eheliche Wohnung am 7. September 2014. Die Scheidung wurde mit Urteil vom 17. Oktober 2017 ausgesprochen (vgl. Sachverhalt B und C).</w:t>
      </w:r>
    </w:p>
    <w:p>
      <w:r>
        <w:rPr>
          <w:b/>
        </w:rPr>
        <w:t>E. 6.2.1</w:t>
      </w:r>
    </w:p>
    <w:p>
      <w:r>
        <w:t>Der geschilderte Geschehensablauf zeigt, dass die Beschwerdeführerin den in den Vorjahren nur vorübergehenden Aufenthalt in der Schweiz mit der Eheschliessung in ein dauerhaftes Aufenthaltsrecht umwandeln konnte. Ein solches Aufenthaltsrecht konnte sie dadurch auch ihrer nach wenigen Monaten im Familiennachzug folgenden Tochter vermitteln. Dies sowie das bereits sieben Monate nach erfolgter Einbürgerung eingereichte Scheidungsbegehren indizieren eine gewisse Wahrscheinlichkeit dafür, dass die Beschwerdeführerin bereits im Hinblick auf eine anschliessende eheliche Trennung um die Erlangung des Schweizer Bürgerrechts für sich und ihre Tochter bemüht war.</w:t>
      </w:r>
    </w:p>
    <w:p>
      <w:r>
        <w:rPr>
          <w:b/>
        </w:rPr>
        <w:t>E. 6.2.2</w:t>
      </w:r>
    </w:p>
    <w:p>
      <w:r>
        <w:t>Auch die weiteren vorinstanzlichen Abklärungen deuten darauf hin, dass die Beziehung der Ehegatten spätestens dann, als die Beschwerdeführerin eingebürgert wurde, nicht mehr stabil und zukunftsgerichtet war. Als Zeitpunkt, an dem Schwierigkeiten in der Ehe aufgetreten seien, nannte B._______ den 18. November 2013, den ersten Tag des Entzugs seiner Fahrerlaubnis, in dessen Folge er immer daheim geblieben sei. Seinen weiteren Angaben zufolge tauchten eheliche Probleme aber schon wesentlich früher auf, nämlich als die Ankunft seiner Stieftochter zu weiteren Einschränkungen der ohnehin wenigen ehelichen Gemeinsamkeiten führte. Diesbezüglich hat B._______ ausdrücklich erwähnt, dass es keine gemeinsamen Ferien oder grosse Unternehmungen gegeben habe, dass er wegen der Tochter das "Einzelzimmer" habe benutzen müssen und deswegen auch "kein Sex mehr" stattgefunden habe. Zur Rettung der Ehe hätten beide Ehegatten nichts unternommen, es sei "zu wenig geredet" worden. Der Scheidungswunsch sei von ihm ausgegangen, "weil es nicht mehr klappen wollte". Entstanden sei dieser Wunsch im Zeitpunkt, als er gemerkt habe, dass seine Ehefrau ihn anlüge (zu Vorstehendem: Eingabe vom 1. Mai 2015 [Vorakten S.100 f.]). Letzteres hat B._______ dahingehend präzisiert, dass seine Ehefrau ihm ihr ausserhäusliches Tun verheimlicht und Besuche an ihrem Arbeitsplatz untersagt habe (Eingabe vom 11. Mai 2015 [Vorakten S.106 f.]).</w:t>
      </w:r>
    </w:p>
    <w:p>
      <w:r>
        <w:rPr>
          <w:b/>
        </w:rPr>
        <w:t>E. 6.3</w:t>
      </w:r>
    </w:p>
    <w:p>
      <w:r>
        <w:t>Nach alledem - d.h. vor dem Hintergrund der Ereignisse im Umfeld von Heirat und Einbürgerung und ihrer zusätzlichen Abklärungen - durfte die Vorinstanz zu Recht vermuten, dass die von der Beschwerdeführerin am 7. Januar 2014 unterschriftlich bestätigte intakte Ehegemeinschaft zu diesem Zeitpunkt in Wirklichkeit nicht mehr bestand.</w:t>
      </w:r>
    </w:p>
    <w:p>
      <w:r>
        <w:rPr>
          <w:b/>
        </w:rPr>
        <w:t>E. 7.1</w:t>
      </w:r>
    </w:p>
    <w:p>
      <w:r>
        <w:t>Damit stellt sich die Frage, ob die von der Beschwerdeführerin im Rechtsmittelverfahren vorgebrachten Argumente eine andere Schlussfolgerung erlauben. Insofern müsste sie glaubhaft aufzeigen, dass ein erst nach der Einbürgerung eingetretenes, ausserordentliches Ereignis zum Scheitern der Ehe führte oder dass sie die Schwere der ehelichen Probleme nicht erkannte und überzeugt war, mit ihrem Ehepartner auch künftig in einer vermeintlich stabilen ehelichen Gemeinschaft zu leben (vgl. E. 5.2).</w:t>
      </w:r>
    </w:p>
    <w:p>
      <w:r>
        <w:rPr>
          <w:b/>
        </w:rPr>
        <w:t>E. 7.2</w:t>
      </w:r>
    </w:p>
    <w:p>
      <w:r>
        <w:t>Als besonderes Vorkommnis, welche die Ehe scheitern liess, nennt die Beschwerdeführerin den von ihrem Ehemann erlittenen Verlust des Arbeitsplatzes als Lastwagenchauffeur und seine damit einhergehende Verhaltensänderung (vgl. Sachverhalt H). Ihrer Ansicht nach blieb die Ehe, abgesehen von den in jeder Beziehung üblichen Höhen und Tiefen, bis Mitte Februar 2014 stabil und wurde erst danach unerträglich.</w:t>
      </w:r>
    </w:p>
    <w:p>
      <w:r>
        <w:rPr>
          <w:b/>
        </w:rPr>
        <w:t>E. 7.2.1</w:t>
      </w:r>
    </w:p>
    <w:p>
      <w:r>
        <w:t>Dass die Ehe erst Mitte Februar 2014, somit rund drei Wochen nach der erleichterten Einbürgerung, auseinander gebrochen sein soll, ist angesichts des kurzen zeitlichen Abstands und der auf einen anderen Verlauf der Ehe hindeutenden Angaben des Ex-Ehegatten allerdings zu bezweifeln. Dieser hat, auch wenn er seine Antworten zum Fragenkatalog der Vor-instanz teilweise nicht zeitlich präzisieren konnte, immerhin deutlich gemacht, dass das Eheleben durch den Einzug der Tochter in die gemeinsame Wohnung erhebliche Einschränkungen erfuhr. Anders als die Beschwerdeführerin hat er als Zeitpunkt, ab dem eheliche Schwierigkeiten auftraten, den 18. November 2013 bezeichnet. Seine Erklärungen, mit denen er sein eigenes Verhalten nicht in ein positives Licht zu rücken versucht, erscheinen insgesamt glaubhaft.</w:t>
      </w:r>
    </w:p>
    <w:p>
      <w:r>
        <w:rPr>
          <w:b/>
        </w:rPr>
        <w:t>E. 7.2.2</w:t>
      </w:r>
    </w:p>
    <w:p>
      <w:r>
        <w:t>Die Beschwerdeführerin versucht die Angaben ihres Ex-Ehemannes dahingehend zu relativieren, dass sie die vor dem Einbürgerungszeitpunkt bestehenden Eheprobleme als geringfügig bzw. nicht vorhanden wertet und der durch das Fahrverbot ausgelösten beruflichen Situation ihres Ehemannes erst ab jenem Punkt eine für den Fortbestand der Ehe relevante Bedeutung zumisst, an dem dessen betriebliche Weiterbeschäftigung als Lastwagenchauffeur unterblieb. Ihre Behauptung, die zunächst harmlosen "verbalen Gewaltaltausbrüche" ihres Ehemannes seien "mit der Zeit" immer heftiger geworden und hätten das Zusammenleben "auf Dauer" unerträglich und unzumutbar gemacht, ist allerdings vage und findet auch in den an die Vorinstanz gerichteten Antworten des Ehemannes vom 1. und 11. Mai 2015 keine Entsprechung. Die von ihrem Ex-Ehemann am 24. Februar 2015 unterzeichnete Erklärung, auf welche sich die Beschwerdeführerin beruft, kann die Zweifel an einer im Einbürgerungszeitpunkt bestehenden stabilen Ehe nicht beseitigen. Diese, nach Einleitung des Nichtigkeitsverfahrens auf Seiten der Beschwerdeführerin vorbereitete Erklärung bestätigt den mit dem Führerausweisentzug und der beruflichen Einschränkung einhergehenden Frust des Ehemannes und das Anwachsen der ehelichen Probleme. Anders als die Beschwerdeführerin meint, enthält die Erklärung aber keine Hinweise auf eine angeblich noch bis Mitte Februar 2014 intakte eheliche Beziehung. Die dort in ihrem Sinne vorgenommene zeitliche Fokussierung auf die Zeit nach dem 11. Januar 2014 - Rückkehr des Ehemannes in den Betrieb als Lagerist - und auf dessen Bekanntschaft mit einer Ungarin im März 2014 vermittelt zwar den oberflächlichen Eindruck einer erst mit der neuen Beziehung gescheiterten Ehe, blendet jedoch die bis zur erleichterten Einbürgerung dauernde Entwicklung der gemeinsamen Partnerschaft aus. Dass es B._______ war, der zuerst und angeblich auch erst nach der erleichterten Einbürgerung den Scheidungswunsch äusserte, bedeutet nicht, dass die Ehe im massgeblichen Zeitpunkt der Einbürgerung von einem beidseitigen und auf die Zukunft gerichteten Ehewillen getragen wurde. Seine unbefangenen Antworten auf den vorinstanzlichen Fragenkatalog sprechen jedenfalls für das Gegenteil. Zudem konnte er erst dann - und anders als bei der auf einem Blankobogen vorbereiteten Erklärung vom 24. Februar 2015 - einen Zusammenhang zwischen der ehelichen Entwicklung und dem gegen seine Ehefrau eingeleiteten Nichtigkeitsverfahren erkennen.</w:t>
      </w:r>
    </w:p>
    <w:p>
      <w:r>
        <w:rPr>
          <w:b/>
        </w:rPr>
        <w:t>E. 8</w:t>
      </w:r>
    </w:p>
    <w:p>
      <w:r>
        <w:t>In ihrer Rechtsmitteleingabe hat die Beschwerdeführerin Beweis für die Richtigkeit ihres Vorbringens angeboten. Diesbezüglich ist allerdings darauf hinzuweisen, dass die Auswahl der unter Art. 12 VwVG nicht abschliessend aufgeführten Beweismittel gewissen Einschränkungen unterliegt (Art. 14 VwVG und Art. 19 VwVG i.V.m. den Bestimmungen des BZP) und sich nach deren Tauglichkeit und Beweiskraft richtet (vgl. Kölz/Häner/Bertschi, Verwaltungsverfahren und Verwaltungsrechtspflege des Bundes, 3. Aufl. 2013, N 468 f.). Somit ist nicht alles, was die betroffene Person für wünschbar hält, abzuklären, sondern nur der Sachverhalt, der weiterer Klärung bedarf. Wurde der rechtserhebliche Sachverhalt bereits hinreichend ermittelt, so darf im Rahmen der antizipierten Beweiswürdigung auf ein beantragtes Beweismittel verzichtet werden (zu den Voraussetzungen der antizipierten Beweiswürdigung: Urteil des BGer 2C_695/2014 vom 16. Januar 2015 E. 4.4). Im vorliegenden Fall ist davon auszugehen, dass die von der Beschwerdeführerin bezeichneten Beweismittel - Parteibefragung sowie Befragungen der Tochter und des Ex-Ehegatten - nicht zu neuen entscheidrelevanten Ergebnissen führen würden. Die Beschwerdeführerin hatte im vorinstanzlichen Verfahren mehrere Möglichkeiten zur Stellungnahme und konnte auch das von ihr gegen die Verfügung eingelegte Rechtsmittel ausführlich begründen; von ihr sind daher keine anderen oder zusätzlichen Angaben zu erwarten. Das Gleiche gilt für ihren geschiedenen Ehegatten, der sich zu den von der Vorinstanz gestellten Fragen am 1. und 11. Mai 2015 geäussert hat. Dass eine Befragung ihrer Tochter Rückschlüsse auf einen im Zeitpunkt der Einbürgerung vorliegenden Ehewillen erlauben könnte, kann von vornherein nicht angenommen werden. Damit erweist sich der bisher ermittelte Sachverhalt im Hinblick auf den verfahrensabschliessenden Entscheid als rechtserheblich und genügend.</w:t>
      </w:r>
    </w:p>
    <w:p>
      <w:r>
        <w:rPr>
          <w:b/>
        </w:rPr>
        <w:t>E. 9</w:t>
      </w:r>
    </w:p>
    <w:p>
      <w:r>
        <w:t>Den vorstehenden Erwägungen zufolge kann die Beschwerdeführerin nicht plausibel darlegen, warum ihre im Einbürgerungszeitpunkt angeblich noch stabile Ehe bereits wenige Wochen später unheilbar zerrüttet war und die Scheidung nach sich zog. Ihr Vorbringen spricht ebenso wenig dafür, dass sie in jenem Zeitpunkt die Schwere der ehelichen Probleme nicht erkannte und überzeugt war, mit ihrem Ehepartner auch künftig in einer vermeintlich stabilen ehelichen Gemeinschaft zu leben. Darauf, dass sich die Ex-Ehegatten gegenseitig der ehelichen Untreue bezichtigten und diese als mitursächlich für ihre gescheiterte Beziehung betrachteten, ist angesichts dessen nicht weiter einzugehen.</w:t>
      </w:r>
    </w:p>
    <w:p>
      <w:r>
        <w:rPr>
          <w:b/>
        </w:rPr>
        <w:t>E. 10</w:t>
      </w:r>
    </w:p>
    <w:p>
      <w:r>
        <w:t>Nach alledem ist die Schlussfolgerung der Vorinstanz, die eheliche Gemeinschaft der Beschwerdeführerin sei im Zeitpunkt ihrer Einbürgerung nicht mehr intakt gewesen, nicht zu beanstanden. Die Beschwerdeführerin hat im Einbürgerungsverfahren die für die Beurteilung wesentlichen Umstände verschwiegen bzw. eine Erklärung unterschrieben, deren Inhalt nicht der Wahrheit entsprach. Dadurch hat sie die erleichterte Einbürgerung im Sinne von Art. 41 Abs. 1 BüG erschlichen.</w:t>
      </w:r>
    </w:p>
    <w:p>
      <w:r>
        <w:rPr>
          <w:b/>
        </w:rPr>
        <w:t>E. 11</w:t>
      </w:r>
    </w:p>
    <w:p>
      <w:r>
        <w:t>Die angefochtene Verfügung ist somit als rechtmässig und angemessen zu bestätigen (Art. 49 VwVG) und die Beschwerde demzufolge abzuweisen.</w:t>
      </w:r>
    </w:p>
    <w:p>
      <w:r>
        <w:rPr>
          <w:b/>
        </w:rPr>
        <w:t>E. 12</w:t>
      </w:r>
    </w:p>
    <w:p>
      <w:r>
        <w:t>Bei diesem Ausgang des Verfahrens sind die Kosten der Beschwerdeführerin aufzuerlegen (vgl.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