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F-7158/2014 vom 31. Oktober 2017</w:t>
      </w:r>
    </w:p>
    <w:p>
      <w:r>
        <w:t>Bundesverwaltungsgericht, 2017-10-31, DE</w:t>
      </w:r>
    </w:p>
    <w:p>
      <w:r>
        <w:rPr>
          <w:b/>
        </w:rPr>
        <w:t xml:space="preserve">Quelle: </w:t>
      </w:r>
      <w:r>
        <w:t>https://mcp.opencaselaw.ch/entscheid/bvger_F-7158_2014</w:t>
      </w:r>
    </w:p>
    <w:p>
      <w:r>
        <w:t>FR: TAF F-7158/2014 du 31 octobre 2017</w:t>
      </w:r>
    </w:p>
    <w:p>
      <w:r>
        <w:t>IT: TAF F-7158/2014 del 31 ottobre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Der Beschwerdeführer beanstandet die angefochtene Verfügung zunächst dahingehend, dass sein rechtliches Gehör verletzt worden sei, weil er vor Erlass der Verfügung keine Möglichkeit zur Stellungnahme erhalten habe. Das Bundesverwaltungsgericht hat diesbezüglich jedoch bereits in der Zwischenverfügung vom 17. Dezember 2014 festgehalten, dass den Behörden sein Aufenthalt bis zur Ankunft in der Schweiz am 8. November 2014 unbekannt gewesen sei und er erst in diesem Zeitpunkt mit dem verfügten Einreiseverbot habe konfrontiert werden können. Die Vorinstanz durfte auf eine vorherige Anhörung verzichten, da angesichts seiner vorgängigen und im Falle erneuter Einreise auch in Zukunft nicht auszuschliessenden Straffälligkeit (dazu unten E. 5.1) Gefahr im Verzuge bestand (vgl. Art. 30 Abs. 2 Bst. e VwVG).</w:t>
      </w:r>
    </w:p>
    <w:p>
      <w:r>
        <w:rPr>
          <w:b/>
        </w:rPr>
        <w:t>E. 4.1</w:t>
      </w:r>
    </w:p>
    <w:p>
      <w:r>
        <w:t>Landesrechtliche Grundlage der angefochtenen Verfügung vom 7. November 2014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AuG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w:t>
      </w:r>
    </w:p>
    <w:p>
      <w:r>
        <w:rPr>
          <w:b/>
        </w:rPr>
        <w:t>E. 4.3</w:t>
      </w:r>
    </w:p>
    <w:p>
      <w:r>
        <w:t>Wird gegen eine Person, welche nicht die Staatsangehörigkeit eines Mitgliedstaates der Europäischen Union oder der Europäischen Freihandelsassoziation besitzt, ein Einreiseverbot verhängt, so wird sie bei Angemessenheit, Relevanz und Bedeutung des Falles im Schengener Informationssystem zur Einreiseverweigerung ausgeschrieben (vgl. Art. 21 und Art. 24 der Verordnung (EG) Nr. 1987/2006 des Europäischen Parlaments und des Rates vom 20. Dezember 2006 über die Einrichtung, den Betrieb und die Nutzung des Schengener Informationssystems der zweiten Generation (SIS II) [ABl. L 381/4 vom 28. Dezember 2006] sowie Art. 20 - 22 der Verordnung über den nationalen Teil des Schengener Informationssystems (N-SIS) und das SIRENE-Büro (N-SIS-Verordnung vom 8. März 2013 [SR 362.0]).</w:t>
      </w:r>
    </w:p>
    <w:p>
      <w:r>
        <w:rPr>
          <w:b/>
        </w:rPr>
        <w:t>E. 5.1</w:t>
      </w:r>
    </w:p>
    <w:p>
      <w:r>
        <w:t>Die Vorinstanz begründet das gegen A._______ verhängte Einreiseverbot mit den drei schwereren Verfehlungen, welche in den Jahren 2009 und 2010 mit Strafbefehl und im Jahr 2014 mit gerichtlichem Urteil sanktioniert wurden (Strafbefehl des Bezirksamtes Aarau vom 3. April 2009 wegen Widerhandlungen gegen das Strassenverkehrsgesetz: bedingte Geldstrafe von 10 Tagessätzen und Busse von Fr. 800.-; Strafbefehl der Staatsanwaltschaft Winterthur/Unterland vom 26. Januar 2010 wegen Vergehen gegen das Waffengesetz: Geldstrafe von 50 Tagessätzen; Urteil des Bezirksgerichts Münchwilen vom 19. August 2014 wegen Raubes und Missbrauchs von Ausweisen und Schildern: Freiheitsstrafe von 22 Monaten, davon 13 Monate bedingt mit einer Probezeit von vier Jahren). Zweifellos stellen diese Straftaten Verstösse gegen die öffentliche Sicherheit und Ordnung dar, was vom Beschwerdeführer auch gar nicht bestritten wird. Seine in der Rechtsmitteleingabe ausdrücklich geäusserte Überzeugung, von ihm sei die Begehung weiterer Delikte nicht mehr zu erwarten, ist aufgrund der gegenteiligen gesetzlichen Vermutung (vgl. E. 4.2 am Ende) nicht massgeblich. Dass der Beschwerdeführer einen Fernhaltegrund im Sinne von Art. 67 Abs. 2 Bst. a AuG gesetzt hat, ist folglich nicht in Abrede zu stellen.</w:t>
      </w:r>
    </w:p>
    <w:p>
      <w:r>
        <w:rPr>
          <w:b/>
        </w:rPr>
        <w:t>E. 5.2</w:t>
      </w:r>
    </w:p>
    <w:p>
      <w:r>
        <w:t>Zu prüfen bleibt, ob die auf vier Jahre befristete und damit unterhalb der Regelhöchstdauer von Art. 67 Abs. 3 Satz 1 AuG liegende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S. 125).</w:t>
      </w:r>
    </w:p>
    <w:p>
      <w:r>
        <w:rPr>
          <w:b/>
        </w:rPr>
        <w:t>E. 5.3</w:t>
      </w:r>
    </w:p>
    <w:p>
      <w:r>
        <w:t>Die vom Beschwerdeführer ausgehende Gefahr für die öffentliche Sicherheit und Ordnung spricht für ein grosses öffentliches Interesse an seiner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(zur spezial- und generalpräventiven Zielsetzung von Fernhaltemassnahmen: vgl. BVGE 2014/20 E. 8.2). In diesem Zusammenhang ist festzuhalten, dass Strafrecht und Ausländerrecht unterschiedliche Ziele verfolgen und unabhängig voneinander anzuwenden sind. Während der Strafvollzug neben der Sicherheitsfunktion eine resozialisierende Zielsetzung hat, stellen die Migrationsbehörden die öffentliche Sicherheit und Ordnung in den Vordergrund und wenden bei ihrer Legalprognose sogar einen strengeren und über die strafrechtliche Bewährungsfrist hinausgehenden Massstab an (vgl. BGE 137 II 233 E. 5.2.2). Im Falle des Beschwerdeführers dürfte dieser strengere Massstab allerdings nicht einmal angelegt worden sein: Bei Erlass des Einreiseverbots hatte der Vollzug des unbedingten Teils seiner Freiheitsstrafe nämlich noch gar nicht begonnen, womit auch das Ende der vierjährigen Bewährungsfrist für den bedingten Teil der Strafe gar nicht absehbar war. Die Dauer des vierjährigen Einreiseverbots ist damit - vorbehältlich der noch durchzuführenden Interessenabwägung - prinzipiell nicht zu beanstanden.</w:t>
      </w:r>
    </w:p>
    <w:p>
      <w:r>
        <w:rPr>
          <w:b/>
        </w:rPr>
        <w:t>E. 5.4</w:t>
      </w:r>
    </w:p>
    <w:p>
      <w:r>
        <w:t>Dem öffentlichen Interesse an seiner Fernhaltung sind die privaten Interessen des Beschwerdeführers gegenüberzustellen. Dieser beruft sich unter Bezugnahme auf Art. 8 EMRK im Wesentlichen darauf, dass er seine Kindheit und Jugend in der Schweiz verbracht habe und dass auch seine Eltern und Geschwister, zu denen ein inniger Kontakt bestehe, in der Schweiz lebten. Die geschilderte Verbundenheit zur Schweiz und zu den hier lebenden Verwandten genügt allerdings nicht, um seinen eigenen Interessen absoluten Vorrang vor dem öffentlichen Interesse an einer Fernhaltemassnahme einzuräumen.</w:t>
      </w:r>
    </w:p>
    <w:p>
      <w:r>
        <w:rPr>
          <w:b/>
        </w:rPr>
        <w:t>E. 5.4.1</w:t>
      </w:r>
    </w:p>
    <w:p>
      <w:r>
        <w:t>Festzuhalten ist, dass der Beschwerdeführer bereits aufgrund der weggefallenen Niederlassungsbewilligung nicht mehr in der Schweiz wohnen darf. Im Hinblick auf seine Straffälligkeit besteht auch kein Grund, die mit der Widerrufspraxis übereinstimmenden Erwägungen der kantonalen Instanzen und die des Bundesgerichts in Zweifel zu ziehen (zu Letzteren: zitiertes Urteil des Bundesgerichts 2C_623/2016 E. 2.4). Das Bundesgericht hat insbesondere - und auch im Hinblick auf Art. 8 EMRK - betont, dass der Beschwerdeführer enge Bindungen zu seinem Heimatstaat habe und dort auch mit seiner Ehefrau - die allein zur Kernfamilie gehöre - lebe. Angesichts der durch den Raub begangenen schweren Rechtsgutverletzung, der Betreibungen und offenen Verlustscheine des Beschwerdeführers überwiege das öffentliche Interesse an der Ausreise seine privaten Interessen.</w:t>
      </w:r>
    </w:p>
    <w:p>
      <w:r>
        <w:rPr>
          <w:b/>
        </w:rPr>
        <w:t>E. 5.4.2</w:t>
      </w:r>
    </w:p>
    <w:p>
      <w:r>
        <w:t>Das über den Beschwerdeführer verhängte Einreiseverbot hat, über den Entzug des Aufenthaltsrechts hinaus, zur Folge, dass dieser seine hier lebenden Angehörigen nicht mehr beliebig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Weiter ist festzuhalten, dass der Beschwerdeführer die alleinige Verantwortung für den nur noch eingeschränkt möglichen Kontakt zu seinen Verwandten trägt. Die familiären Beziehungen können aber immerhin durch deren Besuche im gemeinsamen Herkunftsland und mithilfe moderner Kommunikationsmittel aufrecht erhalten werden.</w:t>
      </w:r>
    </w:p>
    <w:p>
      <w:r>
        <w:rPr>
          <w:b/>
        </w:rPr>
        <w:t>E. 5.5</w:t>
      </w:r>
    </w:p>
    <w:p>
      <w:r>
        <w:t>Der Beschwerdeführer hat seiner Rechtsmitteleingabe verschiedene schriftliche Erklärungen seiner Familienangehörigen beigefügt, um die zu ihnen unterhaltene enge Beziehung zu belegen (Beilage 11). Eine solche Beziehung ist angesichts der obigen Erwägungen jedoch nicht entscheidungsrelevant, weshalb es sich erübrigt, auf die hierzu eingereichten Beweismittel einzugehen. Das Gleiche gilt für die in der Replik bezeichneten Beweismittel - Zeugen und Fotos (Beilage 17) - , mit denen der Beschwerdeführer seine in der Zeit von Januar bis November 2014 erfolgten Besuche in der Schweiz belegen möchte; diese stehen allerdings nur im Zusammenhang mit dem von ihm bestrittenen Verlust der Niederlassungsbewilligung und sind für das im vorliegenden Verfahren zu beurteilende Einreiseverbot ohne Bedeutung.</w:t>
      </w:r>
    </w:p>
    <w:p>
      <w:r>
        <w:rPr>
          <w:b/>
        </w:rPr>
        <w:t>E. 6</w:t>
      </w:r>
    </w:p>
    <w:p>
      <w:r>
        <w:t>Nach alledem führt die Abwägung der vorliegenden öffentlichen und privaten Interessen zum Ergebnis, dass das auf 4 Jahre befristete - und aufgrund der nicht geringfügigen Straffälligkeit eher an der unteren Grenze liegende - Einreiseverbot eine verhältnismässige und angemessene Massnahme zum Schutz der öffentlichen Sicherheit und Ordnung darstellt.</w:t>
      </w:r>
    </w:p>
    <w:p>
      <w:r>
        <w:rPr>
          <w:b/>
        </w:rPr>
        <w:t>E. 7</w:t>
      </w:r>
    </w:p>
    <w:p>
      <w:r>
        <w:t>Aus diesen Erwägungen folgt, dass die angefochtene Verfügung Bundesrecht nicht verletzt (vgl. Art. 49 VwVG). Die Beschwerde ist daher abzuweisen.</w:t>
      </w:r>
    </w:p>
    <w:p>
      <w:r>
        <w:rPr>
          <w:b/>
        </w:rPr>
        <w:t>E. 8</w:t>
      </w:r>
    </w:p>
    <w:p>
      <w:r>
        <w:t>Das Bundesverwaltungsgericht hat das mit der Beschwerde vom 8. Dezember 2014 eingereichte Gesuch um unentgeltliche Rechtspflege mit Zwischenverfügung vom 17. Dezember 2014 abgewiesen und einen Kostenvorschuss von Fr. 1'200.- erhoben. Dieser wurde vom Beschwerdeführer am 10. Januar 2015 einbezahlt. Mit Replik vom 18. März 2015 hat er ein weiteres Gesuch um unentgeltliche Rechtspflege gestellt. Dieses Gesuch ist angesichts des in diesem Zeitpunkt bereits geleisteten Kostenvorschusses und der sich damit nicht mehr stellenden Frage der prozessualen Bedürftigkeit abzuweisen.</w:t>
      </w:r>
    </w:p>
    <w:p>
      <w:r>
        <w:rPr>
          <w:b/>
        </w:rPr>
        <w:t>E. 9</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