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F-7153/2018 vom 7. Oktober 2019</w:t>
      </w:r>
    </w:p>
    <w:p>
      <w:r>
        <w:t>Bundesverwaltungsgericht, 2019-10-07, FR</w:t>
      </w:r>
    </w:p>
    <w:p>
      <w:r>
        <w:rPr>
          <w:b/>
        </w:rPr>
        <w:t xml:space="preserve">Quelle: </w:t>
      </w:r>
      <w:r>
        <w:t>https://mcp.opencaselaw.ch/entscheid/bvger_F-7153_2018</w:t>
      </w:r>
    </w:p>
    <w:p>
      <w:r>
        <w:t>FR: TAF F-7153/2018 du 7 octobre 2019</w:t>
      </w:r>
    </w:p>
    <w:p>
      <w:r>
        <w:t>IT: TAF F-7153/2018 del 7 ottobre 2019</w:t>
      </w:r>
    </w:p>
    <w:p>
      <w:pPr>
        <w:pStyle w:val="Heading2"/>
      </w:pPr>
      <w:r>
        <w:t>Regeste</w:t>
      </w:r>
    </w:p>
    <w:p>
      <w:r>
        <w:t>Interdiction d'entrée</w:t>
      </w:r>
    </w:p>
    <w:p>
      <w:pPr>
        <w:pStyle w:val="Heading2"/>
      </w:pPr>
      <w:r>
        <w:t>Erwägungen</w:t>
      </w:r>
    </w:p>
    <w:p>
      <w:r>
        <w:rPr>
          <w:b/>
        </w:rPr>
        <w:t>E. 6</w:t>
      </w:r>
    </w:p>
    <w:p>
      <w:r>
        <w:t>Le SEM a par ailleurs ordonné l'inscription de l'interdiction d'entrée dans le SIS. En raison de ce signalement, il est interdit au recourant de pénétrer dans l'Espace Schengen.</w:t>
      </w:r>
    </w:p>
    <w:p>
      <w:r>
        <w:rPr>
          <w:b/>
        </w:rPr>
        <w:t>E. 6.1</w:t>
      </w:r>
    </w:p>
    <w:p>
      <w:r>
        <w:t>Lorsqu'une décision d'interdiction d'entrée est prononcée - comme en l'espèce - à l'endroit d'une personne qui n'est ni un citoyen de l'Union européenne (UE), ni un ressortissant d'un pays tiers jouissant de droits de libre circulation équivalents en vertu d'accords conclus par ce pays avec la Communauté européenne (CE) et ses États membres (cf. art. 3 let. d du règlement [CE] n° 1987/2006 du Parlement européen et du Conseil du 20 décembre 2006 sur l'établissement, le fonctionnement et l'utilisation du système d'information Schengen de deuxième génération [SIS II, JO L 381/4 du 28 décembre 2006], en vigueur depuis le 9 avril 2013 [JO L 87/10 du 27 mars 2013]), cette personne est inscrite aux fins de non-admission dans le SIS si le cas est suffisamment important pour justifier l'introduction du signalement dans ce système (cf. art. 21 et 24 SIS II, qui ont remplacé les anciens art. 94 par. 1 et 96 de la Convention d'application de l'accord de Schengen [CAAS, JO L 239 du 22 septembre 2000], ainsi qu'il ressort de l'art. 52 par. 1 SIS II ; cf. également l'art. 16 al. 2 let. b et al. 4 let. g LSIP [RS 361], en relation avec l'art. 6 let. a de l'Ordonnance N-SIS [RS 362.0]). Le signalement dans le SIS a pour conséquence que la personne concernée se verra refuser l'entrée dans l'Espace Schengen (cf. art. 14 par. 1, en relation avec l'art. 6 par. 1 let. d du code frontières Schengen). Demeure réservée la compétence des Etats membres d'autoriser cette personne à entrer sur leur territoire (respectivement à lui délivrer un titre de séjour) pour des motifs sérieux, d'ordre humanitaire, d'intérêt national ou résultant d'obligations internationales (cf. art. 25 par. 1 CAAS, qui demeure applicable en vertu de l'art. 52 par. 1 SIS II a contrario ; cf. aussi l'art. 14 par. 1, en relation avec l'art. 6 par. 5 let. c du code frontières Schengen), voire de lui délivrer pour ces motifs un visa à validité territoriale limitée (cf. art. 25 par. 1 let. a [ii] du règlement [CE] 810/2009 du Parlement européen et du Conseil du 13 juillet 2009 établissant un code communautaire des visas [code des visas, JO L 243/1 du 15 septembre 2009]). Seul l'Etat membre signalant est autorisé à modifier, compléter, rectifier, mettre à jour ou effacer les données qu'il a introduites dans le SIS (art. 34 al. 2 et 3 SIS II).</w:t>
      </w:r>
    </w:p>
    <w:p>
      <w:r>
        <w:rPr>
          <w:b/>
        </w:rPr>
        <w:t>E. 6.2</w:t>
      </w:r>
    </w:p>
    <w:p>
      <w:r>
        <w:t>Ce signalement au SIS est justifié par les faits retenus et satisfait au principe de la proportionnalité, au vu des circonstances du cas d'espèce (cf. art. 21 en relation avec l'art. 24 al. 2 du règlement SIS II). Il l'est d'autant plus que la Suisse, dans le champ d'application des règles de Schengen, se doit de préserver les intérêts de tous les Etats parties aux accords d'association à Schengen (ATAF 2011/48 consid. 6.1).</w:t>
      </w:r>
    </w:p>
    <w:p>
      <w:r>
        <w:rPr>
          <w:b/>
        </w:rPr>
        <w:t>E. 7.1</w:t>
      </w:r>
    </w:p>
    <w:p>
      <w:r>
        <w:t>Au vu de ce qui précède, le Tribunal de céans considère que l'autorité inférieure, en rendant sa décision du 3 décembre 2018, n'a ni violé le droit fédéral, ni constaté des faits pertinents de manière inexacte ou incomplète ; en outre, cette décision n'est pas inopportune (art. 49 PA). En conséquence, le recours est rejeté.</w:t>
      </w:r>
    </w:p>
    <w:p>
      <w:r>
        <w:rPr>
          <w:b/>
        </w:rPr>
        <w:t>E. 7.2</w:t>
      </w:r>
    </w:p>
    <w:p>
      <w:r>
        <w:t>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et de ne pas allouer de dépens (cf. art. 64 al. 1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