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F-7149/2024 vom 20. November 2024</w:t>
      </w:r>
    </w:p>
    <w:p>
      <w:r>
        <w:t>Bundesverwaltungsgericht, 2024-11-20, DE</w:t>
      </w:r>
    </w:p>
    <w:p>
      <w:r>
        <w:rPr>
          <w:b/>
        </w:rPr>
        <w:t xml:space="preserve">Quelle: </w:t>
      </w:r>
      <w:r>
        <w:t>https://mcp.opencaselaw.ch/entscheid/bvger_F-7149_2024</w:t>
      </w:r>
    </w:p>
    <w:p>
      <w:r>
        <w:t>FR: TAF F-7149/2024 du 20 novembre 2024</w:t>
      </w:r>
    </w:p>
    <w:p>
      <w:r>
        <w:t>IT: TAF F-7149/2024 del 20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Der Beschwerdeführer beantragt, die Verfügung sei vollumfänglich aufzuheben. Damit richtet sich die Beschwerde sowohl gegen den Nichteintretensentscheid gemäss Art. 31a Abs. 1 Bst. b AsylG als auch gegen den ZEMIS-Eintrag betreffend sein Geburtsdatum. Das Beschwerdeverfahren hinsichtlich ZEMIS-Datenbereinigung wird separat vom vorliegenden Asylverfahren unter der Nummer F-7185/2024 geführt und es werden zwei getrennte Urteile gefällt. Die Festlegung des Geburtsdatums des Beschwerdeführers - Ziffer 6 der angefochtenen Verfügung - bildet damit nicht Gegenstand des vorliegenden Verfahrens.</w:t>
      </w:r>
    </w:p>
    <w:p>
      <w:r>
        <w:rPr>
          <w:b/>
        </w:rPr>
        <w:t>E. 1.3</w:t>
      </w:r>
    </w:p>
    <w:p>
      <w:r>
        <w:t>Die Beschwerde gegen den Nichteintretensentscheid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3.3</w:t>
      </w:r>
    </w:p>
    <w:p>
      <w:r>
        <w:t>Im Falle einer unbegleiteten minderjährigen Person ohne familiäre Anknüpfungspunkte zu einem anderen Mitgliedstaat ist gemäss Art. 8 Abs. 4 Dublin-III-VO der Staat zuständig, in welchem jene einen Antrag auf internationalen Schutz gestellt hat, wobei von der Situation zum Zeitpunkt der ersten Antragstellung in einem Mitgliedstaat ausgegangen wird (vgl. Art. 7 Abs. 2 Dublin-III-VO).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 m.H.). Vorliegend bestünde deshalb bei Minderjährigkeit des Beschwerdeführers eine der grundsätzlichen Wiederaufnahmezuständigkeit Kroatiens vorrangige Zuständigkeit der Schweiz (vgl. statt vieler: Urteil des BVGer F-3517/2024 vom 7. Juni 2024 E. 3.3).</w:t>
      </w:r>
    </w:p>
    <w:p>
      <w:r>
        <w:rPr>
          <w:b/>
        </w:rPr>
        <w:t>E. 4</w:t>
      </w:r>
    </w:p>
    <w:p>
      <w:r>
        <w:t>Nachfolgend ist demnach zunächst zu prüfen, ob der Beschwerdeführer minderjährig und mithin die Schweiz für die Durchführung des Asyl- und Wegweisungsverfahrens zuständig ist. Ob hingegen das im ZEMIS eingetragene Geburtsdatum korrekt ist, wird - wie bereits erwähnt - nicht im vorliegenden, sondern wird im Verfahren F-7185/2024 zu beurteilen sein.</w:t>
      </w:r>
    </w:p>
    <w:p>
      <w:r>
        <w:rPr>
          <w:b/>
        </w:rPr>
        <w:t>E. 4.1</w:t>
      </w:r>
    </w:p>
    <w:p>
      <w:r>
        <w:t>Die Beweislast für die Minderjährigkeit liegt im Asylverfahren alleine bei der gesuchstellenden Person und diese ist zumindest glaubhaft zu machen (vgl. BVGE 2018 VI/3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Das Resultat eines Altersgutachtens stellt ein Element bei der Beurteilung der Frage der Glaubhaftigkeit einer geltend gemachten Minderjährigkeit dar (vgl. BVGE 2019 I/6 E. 6.1 ff.).</w:t>
      </w:r>
    </w:p>
    <w:p>
      <w:r>
        <w:rPr>
          <w:b/>
        </w:rPr>
        <w:t>E. 4.2</w:t>
      </w:r>
    </w:p>
    <w:p>
      <w:r>
        <w:t>In der Rechtsmitteleingabe wird vorgebracht, der Beschwerdeführer sei mit der Altersanpassung nicht einverstanden. Er habe alle ihm zur Verfügung stehenden Dokumente eingereicht, die sein Alter bestätigten. Die umstrittene Knochenanalyse reiche nicht, um sein Alter zu seinen Ungunsten zu korrigieren.</w:t>
      </w:r>
    </w:p>
    <w:p>
      <w:r>
        <w:rPr>
          <w:b/>
        </w:rPr>
        <w:t>E. 4.3</w:t>
      </w:r>
    </w:p>
    <w:p>
      <w:r>
        <w:t>Entgegen dieser Behauptung hat der Beschwerdeführer keinerlei Dokumente eingereicht, die sein Alter bestätigen könnten. Die Vorinstanz ist in einer Gesamtwürdigung der Beweislage und damit auch unter Berücksichtigung seiner widersprüchlichen und unsubstanziierten Aussagen sowie gestützt auf das Altersgutachten und die Tatsache, dass er bereits in Kroatien als Volljähriger registriert worden war, zum Schluss gekommen, er habe als volljährig zu gelten. Das Altersgutachten lässt nicht auf seine Minderjährigkeit schliessen. Das Bundesverwaltungsgericht geht in Übereinstimmung mit der Vorinstanz ebenfalls davon aus, dass es dem Beschwerdeführer nicht gelungen ist, seine Minderjährigkeit glaubhaft zu machen.</w:t>
      </w:r>
    </w:p>
    <w:p>
      <w:r>
        <w:rPr>
          <w:b/>
        </w:rPr>
        <w:t>E. 5</w:t>
      </w:r>
    </w:p>
    <w:p>
      <w:r>
        <w:t>Nachdem die Minderjährigkeit des Beschwerdeführers als nicht glaubhaft gemacht zu erachten ist, hat die Vorinstanz zu Recht die kroatischen Behörden um seine Wiederaufnahme ersucht. Zu prüfen bleibt, ob sie aus anderen Gründen verpflichtet gewesen wäre, auf das Asylgesuch des Beschwerdeführers einzutreten.</w:t>
      </w:r>
    </w:p>
    <w:p>
      <w:r>
        <w:rPr>
          <w:b/>
        </w:rPr>
        <w:t>E. 5.1</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5.2</w:t>
      </w:r>
    </w:p>
    <w:p>
      <w:r>
        <w:t>Kroatien hat der Wiederaufnahme des Beschwerdeführers vorbehaltlos zugestimmt. Dieser bringt gegen eine Überstellung lediglich vor, dass ein Cousin in der Schweiz lebe und er deshalb hier bleiben wolle. Ferner macht er unter Verweis auf diverse Berichte geltend, das Asylverfahren in Kroatien weise systemische Schwachstellen auf, seine Rückführung würde daher gegen das Übereinkommen gegen Folter und andere grausame, unmenschliche oder erniedrigende Behandlung oder Strafe sowie die EMRK verstossen.</w:t>
      </w:r>
    </w:p>
    <w:p>
      <w:r>
        <w:rPr>
          <w:b/>
        </w:rPr>
        <w:t>E. 5.3</w:t>
      </w:r>
    </w:p>
    <w:p>
      <w:r>
        <w:t>Grundsätzlich ist festzuhalten, dass die Dublin-III-VO den Schutzsuchenden kein Recht einräumt, den ihren Antrag prüfenden Staat selber auszuwählen (vgl. BVGE 2010/45 E. 8.3, BVGE 2017 VI/5 E. 8.2.1).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Gemäss ständiger Rechtsprechung des Bundesverwaltungsgerichts weisen das Asylverfahren und die Aufnahmebedingungen in Kroatien keine systemischen Schwachstellen im Sinne von Art. 3 Abs. 2 zweiter und dritter Satz Dublin-III-VO auf (Referenzurteil des BVGer E-1488/2020 vom 22. März 2023 E. 9.5; zuletzt F-6951/2024 vom 11. November 2024 E. 3.2, E-2615/2024 vom 1. November 2024 E. 6.1, D-6130/2024 vom 1. Oktober 2024 E. 8, je m.w.H.). Demnach sind Dublin-Überstellungen nach Kroatien grundsätzlich sowohl in "take-charge" (Aufnahme) als auch in "take-back" (Wiederaufnahme) Verfahren zulässig. Die Ausführungen in der Beschwerdeschrift zur allgemeinen Situation in Kroatien sowie die zitierten Berichte vermögen daran nichts zu ändern.</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6.2</w:t>
      </w:r>
    </w:p>
    <w:p>
      <w:r>
        <w:t>Der Beschwerdeführer führt an, bei seiner Überstellung nach Kroatien bestehe das Risiko einer Verletzung von Art. 3 EMRK. Er vermag indessen nicht darzutun, dass die ihn bei einer Rückführung nach Kroatien zu erwartenden Bedingungen derart schlecht sind, dass sie zu einer Verletzung von Art. 3 EMRK führen könnten. Es bestehen auch keine Gründe für die Annahme, Kroatien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Bei einer allfälligen vorübergehenden Einschränkung der ihm zustehenden Aufnahmebedingungen könnte er sich im Übrigen nötigenfalls an die kroatischen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ein allfälliges Fehlverhalten der kroatischen Polizei. Des Weiteren steht ihm die Möglichkeit offen, die vor Ort tätigen karitativen Organisationen zu kontaktieren. Bezüglich der angeblich erfahrenen Polizeigewalt zeigt der Beschwerdeführer nicht auf, dass er sich an die zuständigen Behörden gewandt hätte.</w:t>
      </w:r>
    </w:p>
    <w:p>
      <w:r>
        <w:rPr>
          <w:b/>
        </w:rPr>
        <w:t>E. 7</w:t>
      </w:r>
    </w:p>
    <w:p>
      <w:r>
        <w:t>Die Vorinstanz ist zu Recht auf das Asylgesuch des Beschwerdeführers nicht eingetreten und hat die Wegweisung nach Kroatien angeordnet.</w:t>
      </w:r>
    </w:p>
    <w:p>
      <w:r>
        <w:rPr>
          <w:b/>
        </w:rPr>
        <w:t>E. 8</w:t>
      </w:r>
    </w:p>
    <w:p>
      <w:r>
        <w:t>Die Beschwerde ist abzuweisen. Mit dem vorliegenden Urteil fällt der am 14. November 2024 angeordnete superprovisorische Vollzugsstopp dahin.</w:t>
      </w:r>
    </w:p>
    <w:p>
      <w:r>
        <w:rPr>
          <w:b/>
        </w:rPr>
        <w:t>E. 9.1</w:t>
      </w:r>
    </w:p>
    <w:p>
      <w:r>
        <w:t>Die Begehren erweisen sich als aussichtslos, weshalb das Gesuch um unentgeltliche Prozessführung (Art. 65 Abs. 1 VwVG) abzuweisen ist.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