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F-7146/2017 vom 30. Mai 2018</w:t>
      </w:r>
    </w:p>
    <w:p>
      <w:r>
        <w:t>Bundesverwaltungsgericht, 2018-05-30, DE</w:t>
      </w:r>
    </w:p>
    <w:p>
      <w:r>
        <w:rPr>
          <w:b/>
        </w:rPr>
        <w:t xml:space="preserve">Quelle: </w:t>
      </w:r>
      <w:r>
        <w:t>https://mcp.opencaselaw.ch/entscheid/bvger_F-7146_2017</w:t>
      </w:r>
    </w:p>
    <w:p>
      <w:r>
        <w:t>FR: TAF F-7146/2017 du 30 mai 2018</w:t>
      </w:r>
    </w:p>
    <w:p>
      <w:r>
        <w:t>IT: TAF F-7146/2017 del 30 maggio 2018</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(vgl. Art. 31 ff. VGG i.V.m. Art. 5 VwVG). Das Rechtsmittelverfahren richtet sich nach dem VwVG, soweit das VGG nichts anderes bestimmt (vgl. Art. 37 VGG).</w:t>
      </w:r>
    </w:p>
    <w:p>
      <w:r>
        <w:rPr>
          <w:b/>
        </w:rPr>
        <w:t>E. 1.2</w:t>
      </w:r>
    </w:p>
    <w:p>
      <w:r>
        <w:t>Als Verfügungsadressat ist der Beschwerdeführer zur Erhebung der Beschwerde legitimiert (Art. 48 Abs. 1 VwVG). Auch die übrigen Sachurteilsvoraussetzungen sind erfüllt (vgl. Art. 50 und 52 VwVG).</w:t>
      </w:r>
    </w:p>
    <w:p>
      <w:r>
        <w:rPr>
          <w:b/>
        </w:rPr>
        <w:t>E. 1.3</w:t>
      </w:r>
    </w:p>
    <w:p>
      <w:r>
        <w:t>Das Bundesverwaltungsgericht entscheidet in vorliegender Sache endgültig (vgl. Art. 83 Bst. c Ziff. 1 BGG).</w:t>
      </w:r>
    </w:p>
    <w:p>
      <w:r>
        <w:rPr>
          <w:b/>
        </w:rPr>
        <w:t>E. 2</w:t>
      </w:r>
    </w:p>
    <w:p>
      <w:r>
        <w:t>Mit der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Der Beschwerdeführer beantragt zwei Mal die Befragung von B._______, dem Freund, Gastgeber und Begünstigten der vorliegend zu beurteilenden Hilfeleistung des Beschwerdeführers. Das Bundesverwaltungsgericht erwog in den Zwischenverfügungen vom 9. Januar 2018 sowie 6. März 2018, dass zu den damaligen Zeitpunkten eine Zeugenaussage nicht angezeigt schien, hat allerdings noch nicht über die Beweisanträge befunden. Bei nicht anfechtbaren Entscheiden beziehungsweise Verfügungen kann der Entscheid über die Beweisanträge aber ohnehin im Endurteil erfolgen (vgl. Waldmann/Bickel, in: Praxiskommentar VwVG, 2. Aufl. 2016, Art. 33 N 38).</w:t>
      </w:r>
    </w:p>
    <w:p>
      <w:r>
        <w:rPr>
          <w:b/>
        </w:rPr>
        <w:t>E. 3.1</w:t>
      </w:r>
    </w:p>
    <w:p>
      <w:r>
        <w:t>Im Verwaltungsverfahren gilt der Untersuchungsgrundsatz (Art. 12 ff. VwVG i.V.m. Art. 37 VGG). Die Behörden sorgen - unter Vorbehalt der Mitwirkungspflicht der Parteien - von Amtes wegen für die Abklärung des rechtserheblichen Sachverhalts (Art. 12 ff. VwVG). Das Verwaltungsrechtspflegeverfahren ist vom Grundsatz der Schriftlichkeit geprägt (vgl. Moser, Beusch, Kneubühl, Prozessieren vor dem Bundesverwaltungsgericht, 2. Aufl. 2013, N 3.86). Sodann gilt in der Bundesverwaltungsrechtspflege der Grundsatz der freien Beweiswürdigung (Art. 19 VwVG i.V.m. Art. 40 BZP [SR 273]). Die Einvernahme von Zeuginnen und Zeugen ist nach Art. 14 VwVG nur unter der einschränkenden Voraussetzung anzuordnen, dass sich der Sachverhalt auf andere Weise nicht hinreichend abklären lässt (Weissenberger/Hirzel, in: Praxiskommentar VwVG, 2 Aufl. 2016, Art. 14 N 20 ff.).</w:t>
      </w:r>
    </w:p>
    <w:p>
      <w:r>
        <w:rPr>
          <w:b/>
        </w:rPr>
        <w:t>E. 3.2</w:t>
      </w:r>
    </w:p>
    <w:p>
      <w:r>
        <w:t>Von den Parteien angebotene Beweise sind abzunehmen, sofern diese geeignet sind, den rechtserheblichen Sachverhalt festzustellen (Art. 33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(vgl. BGE 141 I 60 E. 3.3 m.H.).</w:t>
      </w:r>
    </w:p>
    <w:p>
      <w:r>
        <w:rPr>
          <w:b/>
        </w:rPr>
        <w:t>E. 3.3</w:t>
      </w:r>
    </w:p>
    <w:p>
      <w:r>
        <w:t>Im vorliegendem Fall erschliesst sich der entscheiderhebliche Sachverhalt, wie nachfolgend zu zeigen sein wird, in hinreichender Weise aus den Akten. Von der beantragten Befragung kann daher in antizipierter Beweiswürdigung ohne Verletzung des Anspruchs auf rechtliches Gehör abgesehen werden.</w:t>
      </w:r>
    </w:p>
    <w:p>
      <w:r>
        <w:rPr>
          <w:b/>
        </w:rPr>
        <w:t>E. 4.1</w:t>
      </w:r>
    </w:p>
    <w:p>
      <w:r>
        <w:t>Das SEM kann Einreiseverbote gegen ausländische Personen erlassen, die gegen die öffentliche Sicherheit und Ordnung in der Schweiz oder im Ausland verstossen haben oder diese gefährden (Art. 67 Abs. 2 Bst. a AuG).</w:t>
      </w:r>
    </w:p>
    <w:p>
      <w:r>
        <w:rPr>
          <w:b/>
        </w:rPr>
        <w:t>E. 4.2</w:t>
      </w:r>
    </w:p>
    <w:p>
      <w:r>
        <w:t>Das Einreiseverbot dient der Abwendung künftiger Störungen der öffentlichen Sicherheit und Ordnung (BBl 2002 3709, 3813). Die öffentliche Sicherheit und Ordnung im Sinne von Art. 67 Abs. 2 Bst. a AuG bildet den Oberbegriff für die Gesamtheit der polizeilichen Schutzgüter; sie umfasst unter anderem die Unverletzlichkeit der objektiven Rechtsordnung oder der Rechtsgüter Einzelner. In diesem Sinne liegt ein Verstoss gegen die öffentliche Sicherheit und Ordnung vor, wenn gesetzliche Vorschriften oder behördliche Verfügungen missachtet werden (Art. 80 Abs. 1 Bst. a der Verordnung vom 24. Oktober 2007 über Zulassung, Aufenthalt und Erwerbstätigkeit [VZAE, SR 142.201]). Ob eine solche Gefährdung vorliegt, ist gestützt auf die gesamten Umstände des Einzelfalles im Sinne einer Prognose zu beurteilen, die sich in erster Linie auf das vergangene Verhalten des Betroffenen abstützen muss (vgl. statt vieler: Urteile des BVGer F-6713/2016 vom 19. Mai 2017 E. 5.3 und F-7919/2015 vom 20. März 2017 E. 4.2 und 4.3 je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F-5969/2016 vom 28. September 2017 E. 4.4. m.H.).</w:t>
      </w:r>
    </w:p>
    <w:p>
      <w:r>
        <w:rPr>
          <w:b/>
        </w:rPr>
        <w:t>E. 4.3</w:t>
      </w:r>
    </w:p>
    <w:p>
      <w:r>
        <w:t>Die Anordnung eines Einreiseverbots kann gemäss ständiger Rechtsprechung auch dann ergehen, wenn ein rechtskräftiges Strafurteil fehlt, so weil ein Strafverfahren nicht eröffnet wurde, noch hängig ist oder wie in diesem Fall eingestellt wurde (vgl. Urteile des BVGer C-7068/2013 vom 19. Mai 2015 E. 5.5 m.H.; F-5969/2016 vom 28. September 2017 E. 6.4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Unschuldsvermutung im Administrativverfahren grundsätzlich keine Geltung beanspruchen kann (vgl. Urteil des BVGer C-4921/2010 vom 11. August 2011 E. 5.2).</w:t>
      </w:r>
    </w:p>
    <w:p>
      <w:r>
        <w:rPr>
          <w:b/>
        </w:rPr>
        <w:t>E. 5.1</w:t>
      </w:r>
    </w:p>
    <w:p>
      <w:r>
        <w:t>Der Beschwerdeführer macht geltend, dass das Strafverfahren gegen ihn eingestellt wurde und es nicht ersichtlich sei, weshalb die Verwaltungsbehörden von den tatsächlichen und rechtlichen Feststellungen der Strafbehörden abweichen sollten. Ohnehin habe es sich lediglich um eine sehr kurze Hilfestellung bei der Abfallentsorgung im Sinne einer Handreichung unter engen Freunden gehandelt, die keinen Erwerbscharakter habe. In jedem Fall sei ein dreijähriges Einreiseverbot als unverhältnismässig anzusehen.</w:t>
      </w:r>
    </w:p>
    <w:p>
      <w:r>
        <w:rPr>
          <w:b/>
        </w:rPr>
        <w:t>E. 5.2</w:t>
      </w:r>
    </w:p>
    <w:p>
      <w:r>
        <w:t>Die Vorinstanz begründet das Einreiseverbot demgegenüber damit, dass der Beschwerdeführer gemäss den kantonalen Akten in der Schweiz arbeitstätig war, ohne im Besitz der erforderlichen ausländerrechtlichen Bewilligung gewesen zu sein. Der Beschwerdeführer habe seine Arbeit gegenüber der Kantonspolizei zugegeben. Ausserdem seien er sowie zwei weitere Männer in voller Arbeitskleidung angetroffen worden. Es könne gesamthaft nicht von einem Gefallen oder von freundschaftlichen Hilfeleistungen ausgegangen werden.</w:t>
      </w:r>
    </w:p>
    <w:p>
      <w:r>
        <w:rPr>
          <w:b/>
        </w:rPr>
        <w:t>E. 6</w:t>
      </w:r>
    </w:p>
    <w:p>
      <w:r>
        <w:t>Im Folgenden ist deshalb zunächst darauf einzugehen, ob der Beschwerdeführer einer Erwerbstätigkeit im Sinne von Art. 11 Abs. 2 AuG nachgegangen ist.</w:t>
      </w:r>
    </w:p>
    <w:p>
      <w:r>
        <w:rPr>
          <w:b/>
        </w:rPr>
        <w:t>E. 6.1</w:t>
      </w:r>
    </w:p>
    <w:p>
      <w:r>
        <w:t>Der ausländerrechtliche Begriff der Erwerbstätigkeit ist weit gefasst (vgl. Spescha, in: Spescha et al. [Hrsg], Kommentar Migrationsrecht, 4. Aufl. 2015, Art. 11 AuG N 2).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6.2</w:t>
      </w:r>
    </w:p>
    <w:p>
      <w:r>
        <w:t>Mitarbeitende der Kantonspolizei Zürich trafen drei mexikanische Staatsangehörige an, welche gemäss Polizeirapport vom 16. November 2017 auf einer Baustelle Bauarbeiten ausführten (vgl. BVGer act. 6/Beilage 1). Die Mitarbeitenden der Kantonspolizei beobachteten weiter, dass die drei Personen Bauschutt aus einer Liegenschaft, die sich im Umbau befand, wegschafften. Dabei trugen sie die für Bauarbeiter übliche Arbeitskleidung und -schuhe und arbeiteten mit Schaufeln sowie Schuttbecken. Anlässlich der anschliessenden Befragung hat der Beschwerdeführer ausgeführt, er habe geholfen, Abfall (Betonabfall, Steinblöcke sowie Bauschutt) zu entsorgen. Allerdings habe er dafür kein Geld erhalten und es habe sich lediglich um eine Gefälligkeit gehandelt (vgl. BVGer act. 6/Beilage 2).</w:t>
      </w:r>
    </w:p>
    <w:p>
      <w:r>
        <w:rPr>
          <w:b/>
        </w:rPr>
        <w:t>E. 6.3</w:t>
      </w:r>
    </w:p>
    <w:p>
      <w:r>
        <w:t>Die kurze Hilfeleistung, der Charakters der Freundschaftlichkeit und die spontane Gelegenheit ändern nichts an der Tatsache, dass es sich bei der Gefälligkeitshandlung des Beschwerdeführers im ausländerrechtlicher Sinn um eine Tätigkeit handelt, die üblicherweise gegen Entgelt verrichtet wird. Erschwerend kommt hinzu, dass die Mitarbeitenden der Kantonspolizei die drei mexikanischen Staatsangehörige in Arbeitskleidung, -schuhen sowie mit Arbeitsinstrumenten vorgefunden haben (BVGer act. 6/Beilage 1). Selbst wenn die verrichtete Arbeit des Beschwerdeführers, wie im Beschwerdeverfahren behauptet, ohne Gegenleistung beziehungsweise sie nicht gegen Kost und Logis erfolgte, ist sie im Ausländerrecht als Erwerbstätigkeit zu qualifizieren (zum Wesen des ausländerrechtlichen Erwerbsbegriffs und dessen Abgrenzung vgl. statt vieler Urteil des BVGer F-6220/2016 vom 17. Mai 2018 E. 4.1 f.). Die beantragte Zeugenbefragung vermag an dieser Ausgangslage nichts zu ändert, weshalb auf sie verzichtet werden kann.</w:t>
      </w:r>
    </w:p>
    <w:p>
      <w:r>
        <w:rPr>
          <w:b/>
        </w:rPr>
        <w:t>E. 6.4</w:t>
      </w:r>
    </w:p>
    <w:p>
      <w:r>
        <w:t>Der Beschwerdeführer hat somit zumindest am 15. und 16. November 2017 Gefälligkeitshandlungen im dargelegten Sinne erbracht. Die Unentgeltlichkeit der Hilfestellungen sowie deren Häufigkeit spielen, wie bereits aufgezeigt, in diesem Zusammenhang keine Rolle. Vor dem aufgezeigten Hintergrund sieht es das Bundesverwaltungsgericht als erwiesen an, dass der Beschwerdeführer im beschriebenen Umfang einer Erwerbstätigkeit im Sinne von Art. 11 Abs. 2 AuG nachgegangen ist. Wie aus Erwägung 4.3 hervorgeht, kann trotz Einstellung des Strafverfahrens grundsätzlich ein Einreiseverbot erlassen werden, auch wenn die Verwaltungsbehörde aus Gründen der Rechtseinheit und Rechtssicherheit nicht ohne Not von der Feststellung der Strafbehörden abweicht. Vorliegend hat die Staatsanwaltschaft das fragliche Verhalten des Beschwerdeführers keiner umfassenden und eingehenden materiellen Prüfung unterzogen. Eine Bindungswirkung der Einstellungsverfügung vom 2. Februar 2018 beim Entscheid über eine Fernhaltemassnahme kann daher verneint werden (vgl. Urteile des BVGer F-5128/2016 vom 14. August 2017 E. 4.5; F-7521/2015 vom 20. Dezember 2016 E. 5.5).</w:t>
      </w:r>
    </w:p>
    <w:p>
      <w:r>
        <w:rPr>
          <w:b/>
        </w:rPr>
        <w:t>E. 6.5</w:t>
      </w:r>
    </w:p>
    <w:p>
      <w:r>
        <w:t>Durch die Erwerbstätigkeit ohne Bewilligung hat der Beschwerdeführer einen Fernhaltegrund nach Art. 67 Abs. 2 Bst. a erster Halbsatz AuG gesetzt.</w:t>
      </w:r>
    </w:p>
    <w:p>
      <w:r>
        <w:rPr>
          <w:b/>
        </w:rPr>
        <w:t>E. 7.1</w:t>
      </w:r>
    </w:p>
    <w:p>
      <w:r>
        <w:t>Es bleibt zu prüfen, ob die Massnahme in richtiger Ausübung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7.2</w:t>
      </w:r>
    </w:p>
    <w:p>
      <w:r>
        <w:t>Der Beschwerdeführer ging in der Schweiz - wie festgestellt - ohne Bewilligung einer Erwerbstätigkeit nach. Dieses Verhalten wiegt objektiv gesehen nicht leicht. In subjektiver Hinsicht ist jedoch zu berücksichtigten, dass die dem Beschwerdeführer vorgeworfene illegale Erwerbstätigkeit nur während zwei Tagen nachgewiesen werden konnte. Sonstige private Interessen macht der Beschwerdeführer nicht explizit geltend. Allfällige Kontakte zu seinem in der Schweiz lebenden Freund kann der Beschwerdeführer mittels Kommunikationsmitteln pflegen. Zudem kann auf die in Art. 67 Abs. 5 AuG vorgesehene Möglichkeit verwiesen werden, Fernhaltemassnahmen aus humanitären oder anderen wichtigen Gründen zeitweilig auszusetzen.</w:t>
      </w:r>
    </w:p>
    <w:p>
      <w:r>
        <w:rPr>
          <w:b/>
        </w:rPr>
        <w:t>E. 7.3</w:t>
      </w:r>
    </w:p>
    <w:p>
      <w:r>
        <w:t>Aufgrund einer wertenden Gewichtung der sich entgegenstehenden Interessen gelangt das Bundesverwaltungsgericht zum Schluss, dass ein auf zwei Jahre statt auf drei Jahre befristetes Einreiseverbot unter Berücksichtigung der gängigen Praxis in vergleichbaren Fällen sich als verhältnismässig und angemessen erweist (vgl. etwa Urteile des BVGer F-5969/2016 vom 28. September 2017; F-1473/2016 vom 15. Mai 2017; F-1645/2016 vom 12. Januar 2017).</w:t>
      </w:r>
    </w:p>
    <w:p>
      <w:r>
        <w:rPr>
          <w:b/>
        </w:rPr>
        <w:t>E. 8</w:t>
      </w:r>
    </w:p>
    <w:p>
      <w:r>
        <w:t>Eine Ausschreibung im SIS II erfolgt insbesondere angesichts von abgeurteilten oder zu befürchtenden Straftaten gewisser Schwere (vgl. Art. 24 Ziff. 2 Bst. a oder Bst. b Verordnung [EG] Nr. 1987/2006 des europäischen Parlaments und des Rates vom 20. Dezember 2006 über die Einrichtung, den Betrieb und die Nutzung des Schengener Informationssystem der zweiten Generation [SIS II] ABl. L 381/4 vom 28.12.2006). Angesichts des oben dargelegten Verstosses im Bereich des Ausländerrechts ist die Ausschreibung des Beschwerdeführers im SIS II nicht zu beanstanden. Im Übrigen stünde sämtlichen Schengen-Mitgliedstaaten die Möglichkeit offen, betroffenen Personen auf Gesuch hin die Einreise in das eigene Hoheitsgebiet zu gestatten beziehungsweise ein Visum mit räumlich beschränkter Gültigkeit auszustellen.</w:t>
      </w:r>
    </w:p>
    <w:p>
      <w:r>
        <w:rPr>
          <w:b/>
        </w:rPr>
        <w:t>E. 9</w:t>
      </w:r>
    </w:p>
    <w:p>
      <w:r>
        <w:t>Aus diesen Erwägungen folgt, dass das Einreiseverbot dem Grundsatz nach zu bestätigten ist, die festgelegte Dauer des Einreiseverbots jedoch Bundesrecht verletzt, soweit sie über zwei Jahre hinausgeht (vgl. Art. 49 VwVG). Mit der Reduktion der Dauer wird dem Antrag des Beschwerdeführers teilweise entsprochen, so dass die Beschwerde teilweise gutzuheissen ist.</w:t>
      </w:r>
    </w:p>
    <w:p>
      <w:r>
        <w:rPr>
          <w:b/>
        </w:rPr>
        <w:t>E. 10.1</w:t>
      </w:r>
    </w:p>
    <w:p>
      <w:r>
        <w:t>Bei diesem Verfahrensausgang sind dem Beschwerdeführer reduzierte Verfahrenskosten aufzuerlegen und diese mit dem am 15. Januar 2018 geleisteten Kostenvorschuss zu verrechnen (vgl. Art. 63 Abs. 1 VwVG i.V.m. 1-3 des Reglements vom 21. Februar 2008 über die Kosten und Entschädigungen vor dem Bundesverwaltungsgericht [VGKE, SR 173.320.2]).</w:t>
      </w:r>
    </w:p>
    <w:p>
      <w:r>
        <w:rPr>
          <w:b/>
        </w:rPr>
        <w:t>E. 10.2</w:t>
      </w:r>
    </w:p>
    <w:p>
      <w:r>
        <w:t>Im Umfang seines teilweisen Obsiegens ist dem Beschwerdeführer zudem eine reduzierte Parteientschädigung zu Lasten der Vorinstanz zuzusprechen (Art. 64 Abs. 1 VwVG i.V.m. Art. 7 Abs. 2 VGKE). Auf die in der Beschwerdeschrift beantragte Aufforderung zur Einreichung einer Kostennote kann verzichtet werden, da zur Einreichung einer solchen hinreichend Gelegenheit bestand (vgl. Urteil des BGer 2C_421/2011 vom 9. Januar 2012 E. 9.3; vgl. zudem oben unter M. und N.). Der notwendige Vertretungsaufwand lässt sich überdies aufgrund der Aktenlage und in Anlehnung ähnlich gelagerter Fälle zuverlässig abschätzen. Unter Berücksichtigung der rechtlichen Komplexität und des für das Verfahren relevanten Aufwands des Rechtsvertreters (vgl. Art. 8 VGKE) ist die reduzierte Parteientschädigung auf Fr. 800.-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