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F-7136/2018 vom 19. Juni 2019</w:t>
      </w:r>
    </w:p>
    <w:p>
      <w:r>
        <w:t>Bundesverwaltungsgericht, 2019-06-19, DE</w:t>
      </w:r>
    </w:p>
    <w:p>
      <w:r>
        <w:rPr>
          <w:b/>
        </w:rPr>
        <w:t xml:space="preserve">Quelle: </w:t>
      </w:r>
      <w:r>
        <w:t>https://mcp.opencaselaw.ch/entscheid/bvger_F-7136_2018</w:t>
      </w:r>
    </w:p>
    <w:p>
      <w:r>
        <w:t>FR: TAF F-7136/2018 du 19 juin 2019</w:t>
      </w:r>
    </w:p>
    <w:p>
      <w:r>
        <w:t>IT: TAF F-7136/2018 del 19 giugno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Adressat der Verfügung ist der Beschwerdeführer zur Einreichung der Beschwerde legitimiert (Art. 48 Abs. 1 VwVG). Auf seine frist- und formgerecht eingereichte Beschwerde ist einzutreten (Art. 108 Abs. 2 AsylG und Art. 52 Abs. 1 VwVG).</w:t>
      </w:r>
    </w:p>
    <w:p>
      <w:r>
        <w:rPr>
          <w:b/>
        </w:rPr>
        <w:t>E. 2</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Im vorliegenden Fall ist die Vorinstanz unter Bejahung der Zuständigkeit Rumäniens auf das Asylgesuch des Beschwerdeführers nicht eingetreten. Nach seiner Wiedereinreise in das Hoheitsgebiet der Dublin-Mitgliedstaaten hatte er zwar zuerst in Griechenland um Asyl ersucht; dessen Zuständigkeit war jedoch - wie die Vorinstanz in ihrer Vernehmlassung erläutert hat - im Zeitpunkt, als Rumänien der Übernahme des Beschwerdeführers zustimmte, bereits erloschen. Demzufolge wäre Rumänien für die Durchführung seines Asylverfahrens prinzipiell zuständig (vgl. Art. 3 Abs. 1 und Art. 13 Dublin-III-VO), sofern kein anderes der in Kapitel III der Dublin-III-VO aufgeführten Zuständigkeitskriterien als vorrangig zu betrachten ist.</w:t>
      </w:r>
    </w:p>
    <w:p>
      <w:r>
        <w:rPr>
          <w:b/>
        </w:rPr>
        <w:t>E. 3.2</w:t>
      </w:r>
    </w:p>
    <w:p>
      <w:r>
        <w:t>Die hierarchisch gestaffelten Kriterien von Kapitel III enthalten im Wesentlichen zwei Anknüpfungspunkte. Einer resultiert daraus, dass die asylsuchende Person familiäre Beziehungen in einem oder in mehreren Dublin-Mitgliedstaaten unterhält (Art. 8 - Art. 11 Dublin-III-VO), der andere daraus, dass die asylsuchende Person aufgrund eines vorherigen Aufenthalts oder einer vorherigen Einreise bereits Bezug zu einem anderen Mitgliedstaat hatte (Art. 12 - Art. 15 Dublin-III-VO). Im vorliegenden Fall kann sich der Beschwerdeführer, der keine familiären Beziehungen geltend macht, nicht auf die Bestimmungen von Kapitel III der Dublin-III-VO berufen. Zwar besass er bis zu seiner freiwilligen Ausreise im Juli 2016 einen gültigen Aufenthaltstitel in der Schweiz; da er jedoch das Hoheitsgebiet der Dublin-Staaten danach verliess, führt seine mehr als zwei Jahre später erfolgte neue Einreise in die Schweiz nicht zu deren Zuständigkeit (vgl. Art. 12 Abs. 3 und Abs. 4 Dublin-III-VO).</w:t>
      </w:r>
    </w:p>
    <w:p>
      <w:r>
        <w:rPr>
          <w:b/>
        </w:rPr>
        <w:t>E. 4.1</w:t>
      </w:r>
    </w:p>
    <w:p>
      <w:r>
        <w:t>Angesichts der vom Beschwerdeführer behaupteten Mängel im rumänischen Gesundheitssystem stellt sich demzufolge die Frage, ob das dortige Verfahren und die Aufnahmebedingungen für Asylsuchende systemische Schwachstellen - einhergehend mit unmenschlicher oder entwürdigender Behandlung im Sinne von Art. 4 der EU-Grundrechtecharta - befürchten lassen (vgl. Art. 3 Abs. 2 Dublin-III-VO). Bejahendenfalls wäre die Zuständigkeit Rumäniens zu verneinen. In der bisherigen Rechtsprechung - einschliesslich der des EGMR - finden sich für solche systemischen Schwachstellen jedoch keine Hinweise (vgl. auch Ulrich Koehler, Praxiskommentar zum Europäischen Asylzuständigkeitssystem, Berlin 2018, Art. 3 Dublin-III-VO N. 134 m.H.). Zudem sind die vom Beschwerdeführer in seiner Rechtsmitteleingabe zitierten Verurteilungen Rumäniens durch den EGMR nicht einschlägig: Sie betreffen nicht den Asylbereich, sondern die im Falle von zwei rumänischen Staatsangehörigen angeordneten psychiatrischen Unterbringungen in den Jahren 2003/2004 bzw. 2005 (Urteile des EGMR Valentin Câmpeanu gegen Rumänien vom 17. Juli 2014 [Nr. 47848/08] und Parascineti gegen Rumänien vom 13. März 2012 [Nr. 32060/05]). Eine weitere Verurteilung Rumäniens, auf die der Beschwerdeführer in seiner Replik Bezug nimmt - sie betrifft die ungenügenden behördlichen Ermittlungen wegen eines im Jahr 2006 erfolgten tätlichen Angriffs auf ein homosexuelles Paar - reicht ebenso wenig aus, um auf systemische Schwachstellen im rumänischen Asylbereich schliessen zu können (vgl. Urteil des EGMR M.C. und A.C. gegen Rumänien vom 12. April 2016 [Nr. 12060/12]). Die vom Beschwerdeführer behauptete eigene Homosexualität ändert daran nichts.</w:t>
      </w:r>
    </w:p>
    <w:p>
      <w:r>
        <w:rPr>
          <w:b/>
        </w:rPr>
        <w:t>E. 4.2</w:t>
      </w:r>
    </w:p>
    <w:p>
      <w:r>
        <w:t>Nach alledem steht nicht zu erwarten, dass der Beschwerdeführer bei seiner Rückführung nach Rumänien auf Bedingungen stösst, die zu einer Verletzung von Art. 4 der EU-Grundrechtecharta oder Art. 3 EMRK führen könnten. Vor diesem Hintergrund hat die Vorinstanz zu Recht darauf hingewiesen, dass Rumänien die Richtlinie 2013/33/EU des Europäischen Parlaments und des Rates vom 26. Juni 2013 - die sogenannte Aufnahmerichtlinie, welche zahlreiche Mindestnormen für die Aufnahme und Betreuung von Asylsuchenden beinhaltet - umgesetzt hat. In ihrer Vernehmlassung hat sie nochmals und unter Hinweis auf die Rechtsprechung des Bundesverwaltungsgerichts betont, Rumänien gewährleiste den - laut Art. 19 Abs. 2 der Aufnahmerichtlinie vorgesehenen - Zugang zu notwendiger medizinischer Behandlung; dass die dortige Behandlung nicht dem Standard der Schweiz entspreche, sei per se kein medizinisches Rückkehrhindernis (vgl. auch Urteil des BVGer D-5665/2017 vom 13. März 2018 E. 6.3 - E. 6.5).</w:t>
      </w:r>
    </w:p>
    <w:p>
      <w:r>
        <w:rPr>
          <w:b/>
        </w:rPr>
        <w:t>E. 5.1</w:t>
      </w:r>
    </w:p>
    <w:p>
      <w:r>
        <w:t>Mit seinen gegen die Zuständigkeit Rumäniens erhobenen Einwänden, welche im oben dargelegten Kontext von Kapitel III und von Art. 3 Abs. 2 Dublin-III-VO nicht stichhaltig sind, möchte der Beschwerdeführer zumindest den Selbsteintritt der Schweiz aus humanitären Gründen erreichen. Fraglich ist somit, ob die Vorinstanz unter diesem Aspekt auf sein Asylgesuch hätte eintreten müssen (vgl. Art. 17 Dublin-III-VO und Art. 29a Abs. 3 der Asylverordnung 1 [AsylV 1; SR 142.311]). Dabei ist lediglich zu überprüfen, ob die Vorinstanz den insofern massgeblichen Sachverhalt korrekt und vollständig erhoben, allen wesentlichen Umständen Rechnung getragen und ihren Ermessensspielraum genutzt hat. Eine Angemessenheitskontrolle findet im Rechtsmittelverfahren nicht (mehr) statt (vgl. Art. 106 Abs. 1 Bst. a und b AsylG [Bst. c wurde mit der Asylgesetzrevision vom 1. Februar 2014 gestrichen]).</w:t>
      </w:r>
    </w:p>
    <w:p>
      <w:r>
        <w:rPr>
          <w:b/>
        </w:rPr>
        <w:t>E. 5.2</w:t>
      </w:r>
    </w:p>
    <w:p>
      <w:r>
        <w:t>Die Argumente des Beschwerdeführers lassen auch unter dem Aspekt humanitärer Gründe keine verfahrensrechtlichen Verstösse im Sinne von Art. 106 AsylG erkennen. Die Vorinstanz musste seinen früheren langjährigeren Aufenthalt in der Schweiz und die damit einhergehenden Integrationsbemühungen schon deshalb nicht berücksichtigen, weil sich ansonsten die örtlichen Zuständigkeitskriterien der Dublin-III-VO (Art. 12 - Art. 15) als inhaltsleer erweisen würden. In diesem Zusammenhang ist es irrelevant, ob der Beschwerdeführer, wie behauptet, die Tragweite seiner 2016 erfolgten Ausreise nicht abschätzen konnte. Auf etwaige Willensmängel bei seiner Abmeldung ist schon deshalb nicht einzugehen, weil seine Aufenthaltsbewilligung ohnehin mit Ablauf der Gültigkeitsdauer erloschen wäre (vgl. Art. 61 Abs. 1 Bst. a und Bst. c AIG [bis 31. Dezember 2018: AuG]).</w:t>
      </w:r>
    </w:p>
    <w:p>
      <w:r>
        <w:rPr>
          <w:b/>
        </w:rPr>
        <w:t>E. 5.3</w:t>
      </w:r>
    </w:p>
    <w:p>
      <w:r>
        <w:t>Für die Vorinstanz bestand auch keine Veranlassung, die vom Beschwerdeführer geltend gemachte Vulnerabilität und die aus seiner Sicht ungenügenden medizinische Strukturen in Rumänien aus dem Blickwinkel humanitärer Gründe erneut zu beurteilen, sind seine diesbezüglichen Einwände doch bereits unter dem Aspekt allfälliger systemischer Schwachstellen (Art. 3 Abs. 2 Dublin-III-VO) erörtert worden. Dass ihm aus ärztlicher Sicht bessere Behandlungsmöglichkeiten in der Schweiz - zumal im Vergleich zum Irak - attestiert werden, ändert an der Gesamtsicht ebenfalls nichts (vgl. Arztberichte des Hausarztzentrums [...] vom 9. März 2019 sowie der Praxis [...] vom 19. Januar 2016).</w:t>
      </w:r>
    </w:p>
    <w:p>
      <w:r>
        <w:rPr>
          <w:b/>
        </w:rPr>
        <w:t>E. 6</w:t>
      </w:r>
    </w:p>
    <w:p>
      <w:r>
        <w:t>Zusammenfassend ergibt sich, dass die gesundheitlichen Probleme des Beschwerdeführers seine Wegweisung nicht unzulässig bzw. unzumutbar erscheinen lassen. Bei der Durchführung des Wegweisungvollzugs ist diesen Problemen jedoch Rechnung zu tragen. Generell haben die mit der Überstellung beauftragten Behörden die jeweiligen besonderen Bedürfnisse der betroffenen Person - einschliesslich ihrer unterwegs notwendigen medizinischen Versorgung - zu berücksichtigen (vgl. Art. 31 Abs. 2 Dublin-III-VO). Darauf hat auch die Vorinstanz in ihrer Vernehmlassung hingewiesen und betont, dass die Reise- bzw. Transportfähigkeit des Beschwerdeführers im Zeitpunkt der vorgesehenen Überstellung durch Fachpersonen beurteilt werde und dass die rumänischen Behörden vorab über seinen Gesundheitszustand und die Behandlungserfordernisse informiert würden. Zudem besteht, wie die Vorinstanz weiterhin ausgeführt hat, die Möglichkeit, ihm einen Anfangsvorrat an Medikamenten oder einen medizinischen Begleiter mitzugeben.</w:t>
      </w:r>
    </w:p>
    <w:p>
      <w:r>
        <w:rPr>
          <w:b/>
        </w:rPr>
        <w:t>E. 7.1</w:t>
      </w:r>
    </w:p>
    <w:p>
      <w:r>
        <w:t>Nach alledem ist festzustellen, dass die Vorinstanz zu Recht und ohne Ermessensfehler auf das Asylgesuch des Beschwerdeführers nicht eingetreten ist und seine Wegweisung verfügt hat (vgl. Art. 31a Abs. 1 Bst. b und Art. 44 AsylG). Die Beschwerde ist folglich abzuweisen.</w:t>
      </w:r>
    </w:p>
    <w:p>
      <w:r>
        <w:rPr>
          <w:b/>
        </w:rPr>
        <w:t>E. 7.2</w:t>
      </w:r>
    </w:p>
    <w:p>
      <w:r>
        <w:t>Mit dem vorliegenden Urteil fällt der am 19. Dezember 2018 angeordnete Vollzugsstopp dahin. Die Vorinstanz hat dem Beschwerdeführer eine neue Frist zu Ausreise anzusetzen.</w:t>
      </w:r>
    </w:p>
    <w:p>
      <w:r>
        <w:rPr>
          <w:b/>
        </w:rPr>
        <w:t>E. 8</w:t>
      </w:r>
    </w:p>
    <w:p>
      <w:r>
        <w:t>Da dem Beschwerdeführer die unentgeltliche Prozessführung gewährt wurde, hat er als unterliegende Partei keine Verfahrenskosten zu tragen (vgl. Art. 63 Abs. 1 und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