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F-7132/2025 vom 22. September 2025</w:t>
      </w:r>
    </w:p>
    <w:p>
      <w:r>
        <w:t>Bundesverwaltungsgericht, 2025-09-22, DE</w:t>
      </w:r>
    </w:p>
    <w:p>
      <w:r>
        <w:rPr>
          <w:b/>
        </w:rPr>
        <w:t xml:space="preserve">Quelle: </w:t>
      </w:r>
      <w:r>
        <w:t>https://mcp.opencaselaw.ch/entscheid/bvger_F-7132_2025</w:t>
      </w:r>
    </w:p>
    <w:p>
      <w:r>
        <w:t>FR: TAF F-7132/2025 du 22 septembre 2025</w:t>
      </w:r>
    </w:p>
    <w:p>
      <w:r>
        <w:t>IT: TAF F-7132/2025 del 22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Bundesverwaltungsgericht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gestützt auf Art. 18 Abs. 1 Bst. d Dublin-III-VO Deutschland bis zu einer allfälligen Wegweisung oder Regelung seines Aufenthalts für das Asyl- und Wegweisungsverfahren des Beschwerdeführers zuständig bleibt, auch wenn sein Asylverfahren bereits rechtskräftig abgeschlossen worden sei. Ferner stellte sie zu Recht fest, das deutsche Asylsystem weise rechtsprechungsgemäss keine systemischen Mängel auf, aufgrund derer die Zuständigkeit gemäss Art. 3 Abs. 2 Dublin-III-VO auf die Schweiz überginge, und dass vorliegend keine völkerrechtlichen Vollzugshindernisse ersichtlich seien, welche die Schweiz zu einem Selbsteintritt nach Art. 17 Abs. 1 Dublin-III-VO verpflichten würden.</w:t>
      </w:r>
    </w:p>
    <w:p>
      <w:r>
        <w:rPr>
          <w:b/>
        </w:rPr>
        <w:t>E. 2.2</w:t>
      </w:r>
    </w:p>
    <w:p>
      <w:r>
        <w:t>Was der Beschwerdeführer auf Rechtsmittelebene vorbringt, vermag nichts an der zutreffenden Einschätzung der Vorinstanz zu ändern. Soweit er geltend macht, er werde nicht in Deutschland bleiben können und habe grosse Angst vor einer Rückkehr in den Irak, ist festzustellen, dass Deutschland auch für die Prüfung allfälliger Vollzugshindernisse, die gegen die Rückführung in seinen Heimatstaat sprechen, zuständig ist. Solche Gründe hat er gegenüber den deutschen Behörden vorzubringen.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Nachdem keine Hinweise dafür vorliegen, dass das Asylverfahren und die Aufnahmebedingungen in Deutschland systemische Schwachstellen aufweisen würden, erübrigen sich weitere Ausführungen zur Beachtung des Grundsatzes des Non-Refoulement (vgl. hierzu Urteil des EuGH in den verbundenen Rechtssachen C-228/21, C-254/21, C-297/21, C-315/21 und C-328/21 vom 30. November 2023 Ziff. 142). Ferner ist der nicht begründete Antrag auf Rückweisung der Sache an die Vorinstanz abzuweisen.</w:t>
      </w:r>
    </w:p>
    <w:p>
      <w:r>
        <w:rPr>
          <w:b/>
        </w:rPr>
        <w:t>E. 3</w:t>
      </w:r>
    </w:p>
    <w:p>
      <w:r>
        <w:t>Die Vorinstanz hat in rechtsfehlerfreier Ausübung des ihr zukommenden Ermessens von einem freiwilligen Selbsteintritt der Schweiz abgesehen, ist zu Recht nicht auf das Asylgesuch eingetreten und hat die Wegweisung nach Deutschland angeordnet. Die Beschwerde ist abzuweisen.</w:t>
      </w:r>
    </w:p>
    <w:p>
      <w:r>
        <w:rPr>
          <w:b/>
        </w:rPr>
        <w:t>E. 4</w:t>
      </w:r>
    </w:p>
    <w:p>
      <w:r>
        <w:t>Der am 18. September 2025 verfügte einstweilige Vollzugsstopp fällt mit dem vorliegenden Urteil dahin.</w:t>
      </w:r>
    </w:p>
    <w:p>
      <w:r>
        <w:rPr>
          <w:b/>
        </w:rPr>
        <w:t>E. 5.1</w:t>
      </w:r>
    </w:p>
    <w:p>
      <w:r>
        <w:t>Das Gesuch um Gewährung der unentgeltlichen Prozessführung und amtlichen Rechtsverbeiständung ist abzuweisen, da die Beschwerde gemäss den vorstehenden Erwägungen als aussichtslos zu bezeichnen ist. Unbesehen der finanziellen Verhältnisse des Beschwerdeführers fehlt es demnach an einer gesetzlichen Voraussetzung gemäss Art. 65 Abs. 1 VwVG.</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