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F-7115/2015 vom 15. Dezember 2016</w:t>
      </w:r>
    </w:p>
    <w:p>
      <w:r>
        <w:t>Bundesverwaltungsgericht, 2016-12-15, FR</w:t>
      </w:r>
    </w:p>
    <w:p>
      <w:r>
        <w:rPr>
          <w:b/>
        </w:rPr>
        <w:t xml:space="preserve">Quelle: </w:t>
      </w:r>
      <w:r>
        <w:t>https://mcp.opencaselaw.ch/entscheid/bvger_F-7115_2015</w:t>
      </w:r>
    </w:p>
    <w:p>
      <w:r>
        <w:t>FR: TAF F-7115/2015 du 15 décembre 2016</w:t>
      </w:r>
    </w:p>
    <w:p>
      <w:r>
        <w:t>IT: TAF F-7115/2015 del 15 dicembre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3.1</w:t>
      </w:r>
    </w:p>
    <w:p>
      <w:r>
        <w:t>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3.3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4</w:t>
      </w:r>
    </w:p>
    <w:p>
      <w:r>
        <w:t>En l'occurrence, l'autorité inférieure a prononcé le 8 octobre 2015 une décision d'interdiction d'entrée d'une durée de 20 ans à l'endroit de A._______. Elle a considéré qu'une telle mesure d'éloignement s'imposait en raison de la gravité des infractions commises par le prénommé durant sa présence sur territoire helvétique et de la mise en danger de la sécurité et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 5.L'examen du dossier amène le Tribunal à constater que, durant son séjour en Suisse, A._______ a successivement fait l'objet, entre 2001 et 2010, de huit condamnations pénales, prononcées notamment pour tentative de meurtre, ainsi que pour vol, agression, dommages à la propriété, violation de domicile, infractions à la LStup et menace contre les fonctionnaires. Il apparaît en particulier que, par jugement du 11 mars 2010, le Tribunal du IIIe arrondissement pour les districts de Martigny et St-Maurice a condamné l'intéressé à une peine privative de liberté de 7 ans, ainsi qu'à une amende de 300 francs pour tentative de meurtre (art. 22 et 111 du Code pénal suisse du 21 décembre 1937 (CP, RS 311.0), violation de l'art. 33 al. 1 let. a de la loi du 20 juin 1997 sur les armes (LArm, RS 514.54), conduite en état d'incapacité (art. 91 al. 1 seconde phrase LCR) et contravention à l'art. 19a ch. 1 LStup, jugement qui a été confirmé sur appel, le 19 août 2011, par le Tribunal cantonal. Il s'impose en conséquence de retenir que, compte tenu des délits dont le recourant s'est rendu coupable en Suisse, celui-ci a indiscutablement attenté à la sécurité et à l'ordre publics, de sorte qu'il remplit incontestablement les conditions d'application de l'art. 67 al. 2 let. a LEtr. Aussi la mesure d'interdiction d'entrée prononcée le 8 octobre 2015 est manifestement justifiée dans son principe, ce que le recourant ne conteste d'ailleurs pas. 6.Il convient encore de déterminer si A._______ constitue une menace grave pour la sécurité et l'ordre publics justifiant le prononcé d'une mesure d'éloignement allant au-delà de la durée maximale de cinq ans prévue à l'art. 67 al. 3 1ère phrase LEtr. 6.1 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 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 6.2 A cet égard, force est de constater une fois encore que les infractions pénales imputées au recourant sont objectivement très graves, tout particulièrement celles qui sont à l'origine de sa dernière condamnation du 11 mars 2010 à 7 ans de peine privative de liberté (pour tentative de meurtre, violation de la LArm, conduite en état d'incapacité et contravention à la LStup). Ces agissements coupables constituent indéniablement un trouble à l'ordre social et affectent un intérêt fondamental de la société. C'est le lieu de rappeler ici que le Tribunal fédéral se montre particulièrement rigoureux - suivant en cela la pratique de la Cour européenne des droits de l'homme - en présence d'actes de violence criminelle (cf. ATF 139 II 121 consid. 5.3, et la jurisprudence citée; arrêts du TF 2C_121/2014 du 17 juillet 2014 consid. 3.2, 2C_436/2014 du 29 octobre 2014 consid. 3.3, 2C_565/2013 du 6 décembre 2013 consid. 3.5, 2C_579/2013 du 15 novembre 2013 consid. 2.3 et 2C_260/2013 du 8 juillet 2013 consid. 4.1), telle notamment la tentative de meurtre dont le recourant s'est rendu coupable le 28 juin 2008. Dans son jugement sur appel du 19 août 2011, le Tribunal cantonal a en particulier relevé à ce sujet que: « l'acte de A._______ au préjudice de F._______ est objectivement très grave, même s'il a été commis par dol éventuel. L'appelant s'est muni d'une arme chargée alors qu'il se trouvait avec des camarades, puis a fait feu sur l'un de ses compagnons qui ne l'avait en rien provoqué et auquel il n'avait aucune raison d'en vouloir. Lui seul connaît le motif de cet acte dans lequel son impulsivité n'est pas étrangère. Il a tiré toutes les balles de son chargeur sur la victime qui, plus d'une année après les faits, subissait encore d'importantes séquelles de ses blessures. Sans s'inquiéter du sort du lésé, il s'est ensuite enfui et a décidé d'aller à Genève faire la fête... n'a pas hésité à prendre le volant de son véhicule, alors même qu'il se trouvait sous une forte emprise de l'alcool, au mépris des risques qu'il faisait courir aux usagers de la route ». Aussi, apprécié sous l'angle de la protection de l'ordre et de la prévention des infractions, le comportement délictueux du recourant nécessite sans conteste une intervention adéquate des autorités fédérales à son endroit. 6.3 Dans ces écritures, le recourant a exposé qu'il avait fait l'objet de nouveaux examens psychiatriques durant l'exécution de sa peine et que sa maladie psychique avait fait l'objet d'un nouveau diagnostic de schizophrénie paranoïde, pour en conclure que le SEM avait arbitrairement omis de prendre en compte ce nouveau diagnostic et ses conséquences sur sa capacité d'agir à l'avenir avec une pleine capacité de discernement. Le recourant a allégué à cet égard qu'il faisait désormais l'objet d'une médication adéquate, que selon le rapport médical que le Dr G._______ (psychiatre) avait établi le 27 mars 2015, il était désormais « apaisé par le traitement neuroleptique (anti-délirant) qui lui est proposé » et ne représentait plus une menace grave pour la sécurité et l'ordre publics, contrairement à ce qu'avait retenu le SEM dans la décision attaquée. S'agissant de l'argument du recourant selon lequel la pathologie (schizophrénie paranoïde) dont il souffrait l'avait privé de sa « capacité de discernement pleine et entière » lors de la commission des graves infractions pénales dont il s'était rendu coupable en Suisse, le Tribunal se limitera à constater que, dans son jugement sur appel du 19 août 2011, le Tribunal cantonal avait déjà pris en compte une diminution de responsabilité jugée entre « légère et moyenne », selon l'expert psychiatre alors mandaté, lequel avait par ailleurs conclu que l'appelant était « accessible à une sanction pénale ». Il convient de rappeler en outre que, dans son jugement du 11 mars 2010, le Tribunal du IIIe arrondissement pour les districts de Martigny et St-Maurice avait déjà retenu l'ordonnance d'un traitement institutionnel dans un établissement fermé au sens de l'art. 59 al. 3 CP, disposition applicable aux détenus souffrant de graves troubles mentaux au sens de l'art. 59 al. 1 CP. En considération de ce qui précède, le Tribunal est amené à conclure que le nouveau diagnostic posé sur l'affection psychique dont le recourant est atteint depuis de nombreuses années n'est pas, en tant que tel, de nature à remettre en cause l'appréciation faite par le SEM au sujet de la menace à la sécurité et l'ordre public que celui-ci représente. Il ressort au demeurant du rapport établi le 26 mars 2015 par la Dresse H._______ (psychologue/psychothérapeute) qu'au regard de la gravité de la maladie psychique du recourant, son équilibre psychique nécessitera « toute sa vie un certain étayage médical et social », appréciation qui tend à fortement relativiser les allégations du recourant, selon lesquelles il ne présentait désormais plus de menace pour la sécurité et l'ordre public, compte tenu du suivi médical dont il fait l'objet depuis qu'un nouveau diagnostic a été posé sur sa maladie psychique. 6.4 En conséquence, en considération de la nature, de la gravité et du nombre d'actes délictueux commis en Suisse par le recourant, le Tribunal de céans arrive à la conclusion que les conditions émises à l'art. 67 al. 3 2ème phrase LEtr sont réunies et justifient le prononcé d'une mesured'éloignement d'une durée supérieure à cinq ans. 7.Dans son recours, A._______ s'est prévalu de l'art. 8 CEDH en invoquant la présence en Suisse de son épouse et de ses trois enfants, tous titulaires d'une autorisation d'établissement dans ce pays. 7.1 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et s'opposer à l'éventuelle séparation de la famille,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 7.2 Dans le cas particulier, il sied de rappeler que l'impossibilité pour le recourant de résider en Suisse auprès des membres de sa famille ne résulte pas de la mesure d'éloignement litigieuse, mais découle primairement du fait qu'il n'est plus titulaire d'un titre de séjour dans ce pays. En effet, par décision 4 juin 2008, le Service de la population et des migrations du canton du Valais (ci-après : le SPOMI) a refusé de prolonger l'autorisation de séjour d'A._______ et a prononcé son renvoi de Suisse. ll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familiales avec son épouse et ses enfants résidant en Suisse. 7.3 Le Tribunal considère à cet égard, compte tenu de la nature et de la gravité des délits pour lesquels le recourant a été condamné en Suisse, que l'intérêt public à son éloignement prévaut sur l'intérêt privé contraire à pouvoir se rendre temporairement dans ce pays pour y entretenir des relations familiales avec les membres de sa famille établis en Suisse, Aussi, l'interdiction d'entrée prononcée à son endroit ne contrevient pas à la disposition conventionnelle précitée, dès lors qu'une ingérence dans l'exercice du droit à la protection de la vie familiale se justifie, conformément à l'art. 8 par. 2 CEDH. 8.Il sied encore d'examiner si la mesure d'éloignement prononcée le 8 octobre 2015 pour une durée de 20 ans est conforme au droit (consid. 8.1 infra) et satisfait notamment aux principes de la proportionnalité et d'égalité de traitement (consid. 8.2 infra). 8.1 En l'espèce, il sied en premier lieu de déterminer si l'autorité inférieure était en droit de dépasser le seuil des 15 ans. En effet, depuis l'ATAF 2014/20, les interdictions d'entrées doivent être limitées dans le temps et leur durée ne pas dépasser 15 ans ou 20 ans en cas de récidive (cf. consid. 7 de l'ATAF précité). Cette jurisprudence se base sur l'interprétation de l'art. 67 al. 3 LEtr, lequel a subi une modification suite à la Directive 2008/115/CE du Parlement européen et du conseil du 16 décembre 2008 relative aux normes et procédures communes applicables dans les États membres au retour des ressortissants de pays tiers en séjour irrégulier (JO L348/98 du 24 décembre 2008). Selon l'ATAF 2014/20, la durée maximale de l'interdiction, soit 15 ans ou 20 en cas de récidive, découle d'une interprétation conforme à la Constitution fédérale (Cst. féd ; RS 101), en particulier eu égard à son art. 121 al. 5, lequel stipule que les étrangers ayant été privés de leur titre de séjour en vertu des al. 3 et 4 doivent être expulsés du pays et frappés d'une interdiction d'entrée allant de 5 à 15 ans ; en cas de récidive, l'interdiction serait fixée à 20 ans. S'agissant de la notion de récidive, il y a lieu de retenir ce qui suit. La 14ème considération de la directive européenne susmentionnée indique, d'une part, que la durée de l'interdiction d'entrée devrait être fixée en tenant dûment compte de toutes les circonstances propres à chaque cas et ne devrait normalement pas dépasser cinq ans et, d'autre part, qu'il convient de tenir particulièrement compte du fait que l'étranger a déjà fait l'objet d'une décision de retour ou d'éloignement ou du fait qu'il a outrepassé une interdiction d'entrée existante (cf. aussi ATAF 2014/20 consid. 7). Dans le cadre de la mise en oeuvre de l'art. 121 al. 3 à 6 Cst. féd., le code pénal suisse a été modifié. Le nouvel art. 66a CP, en vigueur depuis le 1er octobre 2016, oblige le juge, sauf circonstances exceptionnelles, à expulser de Suisse pour une durée de cinq à quinze ans tout étranger condamné pour l'une des infractions qui y est listée. L'art. 66b CP stipule que lorsqu'une personne contre qui une expulsion a été ordonnée commet une nouvelle infraction remplissant les conditions d'une expulsion au sens de l'art. 66a, une nouvelle expulsion est prononcée pour une durée de vingt ans. L'al. 2 indique que l'expulsion peut être prononcée à vie si le nouvel acte a été commis alors que la première expulsion avait encore effet. Il ressort du message du Conseil fédéral concernant cet article que, d'une part, il concrétise l'art. 121 al. 5 2ème phrase Cst. féd. et que, d'autre part, une récidive n'est - semble-il - envisageable que lorsque l'étranger a déjà fait l'objet d'une décision d'expulsion (cf. Message concernant une modification du code pénal et du code pénal militaire, FF 2013 5373ss, 5426 et aussi Peter Bolzi, Unbefristete Einreiseverbote nicht mehr zulässig, in : dRSK, publié le 6 octobre 2014, ch. 22 in fine). Au vu de ce qui précède, il appert qu'une interdiction d'entrée d'une durée supérieure à 15 ans ne saurait être prononcée que dans des circonstances extraordinaires. Si le Tribunal de céans n'est pas lié par les réflexions faites à l'origine des nouveaux articles du code pénal, en particulier si l'on considère que ceux-ci prévoient une interdiction à vie contrairement à l'ATAF 2014/20, il peut toutefois s'en inspirer. En l'espèce, il apparaît que lerecourant n'a pas récidivé après avoir fait l'objet d'une mesure d'expulsion du territoire helvétique. En outre, l'autorité inférieure n'a pas fait valoir d'éléments susceptibles de justifier une durée de plus de quinze ans et le dossier de la cause n'en fait pas apparaître. L'autorité inférieure n'était en conséquence pas en droit de dépasser le seuil des 15 ans. 8.2 Il convient encore d'examiner si le prononcé d'une interdiction d'entrée d'une durée de 15 ans est conforme d'une aux principes de la proportionnalité et de l'égalité de traitement. 8.2.1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 8.2.2 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 S'agissant de la règle de la proportionnalité au sens étroit, il sied de procéder à une pesée des intérêts en présence, à savoir d'un côté l'intérêt privé de A._______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Il en va de l'intérêt de l'Etat à voir respecter l'ordre établi et la législation en vigueur (cf. arrêt du Tribunal administratif fédéral C-4334/2014 du 19 mai 2015 consid. 7.2 et la référence citée). S'agissant de l'intérêt privé de l'intéressé à pouvoir revenir librement en Suisse, il y a lieu de prendre en considération la présence dans ce pays de son épouse et de leurs enfants, ainsi que les conséquences qu'implique la mesure d'éloignement attaquée sur l'exercice de leur vie familiale 8.3 Cela étant, après une pondération de tous les intérêts publics et privés en présence, au regard de l'ensemble des circonstances du cas d'espèce et en considération de la présence en Suisse de l'épouse du recourant et de leurs trois enfants, le Tribunal estime toutefois que la durée de l'interdiction d'entrée prononcée le 8 octobre 2015 doit être limitée à 12 ans.</w:t>
      </w:r>
    </w:p>
    <w:p>
      <w:r>
        <w:rPr>
          <w:b/>
        </w:rPr>
        <w:t>E. 9</w:t>
      </w:r>
    </w:p>
    <w:p>
      <w:r>
        <w:t>Le SEM a par ailleurs ordonné l'inscription de l'interdiction d'entrée dans le SIS. Ainsi que cela ressort du dossier, A._______ est un ressortissant d'un pays tiers au sens de la législation de l'Union européenne (cf. supra consid. 4.2).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w:t>
      </w:r>
    </w:p>
    <w:p>
      <w:r>
        <w:rPr>
          <w:b/>
        </w:rPr>
        <w:t>E. 10.1</w:t>
      </w:r>
    </w:p>
    <w:p>
      <w:r>
        <w:t>Le recours est en conséquence partiellement admis et la décision du SEM du 8 octobre 2015 est réformée, en ce sens que les effets de l'interdiction d'entrée sont limités au 17 octobre 2027.</w:t>
      </w:r>
    </w:p>
    <w:p>
      <w:r>
        <w:rPr>
          <w:b/>
        </w:rPr>
        <w:t>E. 10.2</w:t>
      </w:r>
    </w:p>
    <w:p>
      <w:r>
        <w:t>Par décision incidente du 10 décembre 2015, le recourant a été mis au bénéfice de l'assistance judiciaire totale. Il n'est en conséquence pas perçu de frais de procédure. Le recourant a par ailleurs droit à des dépens réduits (art. 64 al. 1 PA en relation avec l'art. 7 al. 2 du règlement du 11 décembre 2006 concernant les frais, dépens et indemnités fixés par le Tribunal administratif fédéral [FITAF; RS 173.320.2]). Le Tribunal de céans considère, au regard des art. 8 et ss FITAF, que le versement d'un montant de 400 francs à titre de dépens apparaît comme équitable en la présente cause. Il y a par ailleurs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1'200 francs (montant dans lequel est incluse la TVA au sens de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