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F-7094/2024 vom 14. November 2024</w:t>
      </w:r>
    </w:p>
    <w:p>
      <w:r>
        <w:t>Bundesverwaltungsgericht, 2024-11-14, DE</w:t>
      </w:r>
    </w:p>
    <w:p>
      <w:r>
        <w:rPr>
          <w:b/>
        </w:rPr>
        <w:t xml:space="preserve">Quelle: </w:t>
      </w:r>
      <w:r>
        <w:t>https://mcp.opencaselaw.ch/entscheid/bvger_F-7094_2024</w:t>
      </w:r>
    </w:p>
    <w:p>
      <w:r>
        <w:t>FR: TAF F-7094/2024 du 14 novembre 2024</w:t>
      </w:r>
    </w:p>
    <w:p>
      <w:r>
        <w:t>IT: TAF F-7094/2024 del 14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In vorliegender Sache ist das Bundesverwaltungsgericht zuständig (Art. 105 AsylG;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grundsätzlich Frankreich für die Behandlung der Asylgesuche der Beschwerdeführenden zuständig ist, dass das französische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Soweit die Beschwerdeführenden in ihrer Rechtsmitteleingabe ausführen, sie würden in der Schweiz bleiben wollen, weil sie hier Verwandte hätten, so ist darauf hinzuweisen, dass die hier lebende Cousine der Beschwerdeführerin 2 (SEM act. 21, Frage 3.01) nicht als Familienangehörige im Sinne von Art. 2 Bst. g Dublin-III-VO gilt und zwischen dieser und den Beschwerdeführenden auch kein Abhängigkeitsverhältnis vorliegt (vgl. dazu Urteil des BVGer E-5359/2024 vom 4. September 2024 E. 6.4). Der Wunsch der Beschwerdeführenden, in der Schweiz zu bleiben, weil die Kinder hier eine bessere Zukunft hätten, kann der Zuständigkeit Frankreichs nicht entgegenstehen, zumal die Dublin-III-VO den Schutzsuchenden kein Recht einräumt, den ihren Antrag prüfenden Staat selber auszuwählen (vgl. auch BVGE 2010/40 E. 8.3).</w:t>
      </w:r>
    </w:p>
    <w:p>
      <w:r>
        <w:rPr>
          <w:b/>
        </w:rPr>
        <w:t>E. 2.2</w:t>
      </w:r>
    </w:p>
    <w:p>
      <w:r>
        <w:t>Schliesslich hat die Vorinstanz in rechtsfehlerfreier Ausübung des ihr gemäss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Beschwerdeführenden nicht eingetreten und hat gestützt auf Art. 44 AsylG deren Wegweisung nach Frankreich angeordnet. Zur näheren Begründung wird auf die korrekten vorinstanzlichen Erwägungen verwiesen.</w:t>
      </w:r>
    </w:p>
    <w:p>
      <w:r>
        <w:rPr>
          <w:b/>
        </w:rPr>
        <w:t>E. 3</w:t>
      </w:r>
    </w:p>
    <w:p>
      <w:r>
        <w:t>Für die beantragte - aber nicht näher begründete - Rückweisung der Sache an die Vorinstanz zwecks Neubeurteilung besteht keine Veranlassung, da der Sachverhalt rechtsgenüglich erstellt ist und in den Akten auch keine Verfahrensfehler erkennbar sind. Das entsprechende Subeventualbegehren ist abzuweisen.</w:t>
      </w:r>
    </w:p>
    <w:p>
      <w:r>
        <w:rPr>
          <w:b/>
        </w:rPr>
        <w:t>E. 4</w:t>
      </w:r>
    </w:p>
    <w:p>
      <w:r>
        <w:t>Nach dem Gesagten ist die angefochtene Verfügung vom 4. November 2024 nicht zu beanstanden und die Beschwerde ist abzuweisen</w:t>
      </w:r>
    </w:p>
    <w:p>
      <w:r>
        <w:rPr>
          <w:b/>
        </w:rPr>
        <w:t>E. 5</w:t>
      </w:r>
    </w:p>
    <w:p>
      <w:r>
        <w:t>Mit vorliegendem Urteil fällt der am 12. November 2024 angeordnete Vollzugsstopp fällt dahin.</w:t>
      </w:r>
    </w:p>
    <w:p>
      <w:r>
        <w:rPr>
          <w:b/>
        </w:rPr>
        <w:t>E. 6</w:t>
      </w:r>
    </w:p>
    <w:p>
      <w:r>
        <w:t>Das Gesuch um Gewährung der unentgeltlichen Rechtspflege ist abzuweisen, da die Begehren - wie sich aus den vorstehenden Erwägungen ergibt - als aussichtslos zu bezeichnen sind.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