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F-7089/2023 vom 23. Mai 2024</w:t>
      </w:r>
    </w:p>
    <w:p>
      <w:r>
        <w:t>Bundesverwaltungsgericht, 2024-05-23, DE</w:t>
      </w:r>
    </w:p>
    <w:p>
      <w:r>
        <w:rPr>
          <w:b/>
        </w:rPr>
        <w:t xml:space="preserve">Quelle: </w:t>
      </w:r>
      <w:r>
        <w:t>https://mcp.opencaselaw.ch/entscheid/bvger_F-7089_2023</w:t>
      </w:r>
    </w:p>
    <w:p>
      <w:r>
        <w:t>FR: TAF F-7089/2023 du 23 mai 2024</w:t>
      </w:r>
    </w:p>
    <w:p>
      <w:r>
        <w:t>IT: TAF F-7089/2023 del 23 maggio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zur Be- schwerde legitimiert (vgl. Art. 48 Abs. 1 VwVG). Auch die übrigen Sachur- teilsvoraussetzungen (Rechtsmittelfrist [Art. 50 Abs. 1 VwVG] und Form der Beschwerde [Art. 52 Abs. 1 VwVG]) sind erfüllt. Auf die Beschwerde ist einzutreten.</w:t>
      </w:r>
    </w:p>
    <w:p>
      <w:r>
        <w:t>F-7089/2023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Sri Lankas beziehungsweise Indonesiens res- pektive mit unbekannter Staatsangehörigkeit unterliegen die Beschwerde- führenden der Visumspflicht gemäss Art. 9 der Verordnung vom 15. Au- gust 2018 über die Einreise und die Visumerteilung (VEV, SR 142.204). Mit ihren Gesuchen beabsichtigen sie einen längerfristigen Aufenthalt, wes- halb diese nicht nach den Regeln zur Erteilung von Schengen-Visa, son- 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w:t>
      </w:r>
    </w:p>
    <w:p>
      <w:r>
        <w:t>F-7089/2023 Seite 4 Visumsgesuch ist unter Berücksichtigung der aktuellen Gefährdung, der persönlichen Umstände der betroffenen Person und der Lage im Heimat- oder Herkunftsland zu prüfen. Dabei sind weitere Kriterien wie insbeson- dere das Bestehen enger Bindungen zur Schweiz und die hier bestehen- den Integrationsaussichten oder die objektive Unmöglichkeit, in einem an- deren Land um Schutz nachzusuchen, zu beachten (vgl. BVGE 2018 VII/5 E. 3.6.3; Urteil des BVGer F-2470/2022 vom 29. November 2023 E. 3.2 m.H.).</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im Prinzip der volle Beweis zu erbringen (zum Ganzen Urteil des BVGer F-1077/2022 vom 21. Feb- ruar 2024 E. 5, insb. E. 5.4.1 ff. [zur Publikation vorgesehen]).</w:t>
      </w:r>
    </w:p>
    <w:p>
      <w:r>
        <w:rPr>
          <w:b/>
        </w:rPr>
        <w:t>E. 4</w:t>
      </w:r>
    </w:p>
    <w:p>
      <w:r>
        <w:t>Der Beschwerdeführer 1 hat sein Heimatland Sri Lanka im Jahr 2004 ver- lassen und befindet sich seither in Hong Kong. Die aus Indonesien stam- mende Beschwerdeführerin 2 hält sich seit 2002 in Hong Kong auf und die Beschwerdeführerin 3 wurde im Jahr 2020 dort geboren. Alle drei Be- schwerdeführenden wurden 2007 respektive 2023 vom Hochkommissariat für Flüchtlinge der Vereinten Nationen (UNHCR) in Hong Kong als Flücht- linge anerkannt. Vor diesem Hintergrund kann offenbleiben, ob die Be- schwerdeführenden bei einer Rückkehr in ihre Heimatstaaten unmittelbar, ernsthaft und konkret an Leib und Leben im Sinn von Art. 4 Abs. 2 VEV gefährdet wären. Strittig ist hingegen, ob sie sich in Hong Kong, einer Son- derverwaltungszone der Volksrepublik China, in einem für sie sicheren Drittstaat aufhalten (siehe E. 3.3 hiervor).</w:t>
      </w:r>
    </w:p>
    <w:p>
      <w:r>
        <w:t>F-7089/2023 Seite 5</w:t>
      </w:r>
    </w:p>
    <w:p>
      <w:r>
        <w:rPr>
          <w:b/>
        </w:rPr>
        <w:t>E. 5.1</w:t>
      </w:r>
    </w:p>
    <w:p>
      <w:r>
        <w:t>Die Beschwerdeführenden bringen keine Gründe vor, weshalb sie in Hong Kong einer unmittelbaren, ernsthaften und konkreten Gefahr an Leib und Leben im Sinn von Art. 4 Abs. 2 VEV ausgesetzt sein sollen. Ihre Aus- führungen beschränken sich zur Hauptsache vielmehr auf die allgemeine Lage von Flüchtlingen und Asylsuchenden in Hong Kong. Selbst wenn im Rahmen der am 19. März 2024 vom Legislativrat Hong Kongs verabschie- deten Änderung des seit dem 1. Juli 2020 in Kraft stehenden nationalen Sicherheitsgesetzes (vgl. dazu https://www.nzz.ch/international/hongkong- verabschiedet-umstrittenes-sicherheitsgesetz-ld.1822798; https://www.nzz.ch/international/hongkong-stadt-begeht-jahrestag-der- rueckgabe-an-china-proteste-verboten-117-festnahmen-seit-verabschie- dung-des-sicherheitsgesetzes-vor-einem-jahr-ld.1501200, abgerufen am 13.05.2024) wieder Flüchtlingslager errichtet werden, lässt sich daraus keine personenspezifische Gefährdung der Beschwerdeführenden ablei- ten. Insofern sie zur konkreten Lebenssituation vorbringen, sie dürften nicht ins Ausland reisen, hätten keine Reisepässe und das Leben für Flüchtlinge in Hong Kong fühle sich an wie in einem «Käfig», stellt dies keine unmittelbare Gefahr für Leib und Leben im Sinn der hier massgeben- den Verordnungsbestimmung dar. Der Umstand, dass die Integrationsbe- mühungen des chinesischen Staates für Flüchtlinge im Vergleich zu vielen europäischen Staaten geringer ausfallen, vermag keine persönliche Ge- fährdungssituation zu begründen. Daran vermag das Schreiben des UN- HCR vom 24. November 2023 betreffend die Situation der Beschwerdefüh- renden in Hong Kong nichts zu ändern.</w:t>
      </w:r>
    </w:p>
    <w:p>
      <w:r>
        <w:rPr>
          <w:b/>
        </w:rPr>
        <w:t>E. 5.2</w:t>
      </w:r>
    </w:p>
    <w:p>
      <w:r>
        <w:t>Das Bundesverwaltungsgericht verkennt nicht, dass die Situation für die Beschwerdeführenden in Hong Kong belastend sein dürfte. Indes be- steht angesichts des Abkommens vom 28. Juli 1951 über die Rechtsstel- lung der Flüchtlinge (Flüchtlingskonvention, FK, SR 0.142.30) und des Zu- satzprotokolls zur FK vom 31. Januar 1967 (SR 0.142.301) auch bei inter- national anerkannten Flüchtlingen kein Wahlrecht, sich im Staat mit den für sie günstigsten Bedingungen aufzuhalten. Eine besondere Notlage im Sinne der Rechtsprechung, welche die Erteilung von humanitären Visa rechtfertigen würde, ist weder dargetan noch ersichtlich. Allein der Um- stand, dass die Beschwerdeführenden in Hong Kong in bescheidenen, be- schwerlichen Verhältnissen zu leben scheinen, vermag jedenfalls nicht die Annahme zu begründen, sie seien dort im Sinn von Art. 4 Abs. 2 VEV an Leib und Leben bedroht. Sie gestehen in einem Schreiben vom 27. Juni 2022 denn auch selbst ein, nicht einer Gefährdung ausgesetzt zu</w:t>
      </w:r>
    </w:p>
    <w:p>
      <w:r>
        <w:t>F-7089/2023 Seite 6 sein, sondern sich primär eine bessere Zukunft für die Familie zu wün- schen.</w:t>
      </w:r>
    </w:p>
    <w:p>
      <w:r>
        <w:rPr>
          <w:b/>
        </w:rPr>
        <w:t>E. 6</w:t>
      </w:r>
    </w:p>
    <w:p>
      <w:r>
        <w:t>Nach dem Ausgeführten ist weder dargetan noch ohne Weiteres ersicht- lich, dass die Beschwerdeführenden in Hong Kong einer unmittelbaren, ernsthaften und konkreten Gefahr an Leib und Leben im Sinn von Art. 4 Abs. 2 VEV ausgesetzt sind. Ihre Situation dürfte sich zwar als schwierig gestalten, eine besondere Notsituation im Vergleich zu anderen vom UN- HCR anerkannten Flüchtlingen in Hong Kong, die ein behördliches Eingrei- fen zwingend erforderlich machen würde, liegt jedoch nicht vor. Damit ist Hong Kong, China, im Fall der Beschwerdeführenden als sicherer Drittstaat zu betrachten (siehe E. 3.2 f. hiervor).</w:t>
      </w:r>
    </w:p>
    <w:p>
      <w:r>
        <w:rPr>
          <w:b/>
        </w:rPr>
        <w:t>E. 7</w:t>
      </w:r>
    </w:p>
    <w:p>
      <w:r>
        <w:t>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er- weist sich die angefochtene Verfügung als rechtmässig (Art. 49 VwVG). Die Beschwerde ist abzuweisen.</w:t>
      </w:r>
    </w:p>
    <w:p>
      <w:r>
        <w:rPr>
          <w:b/>
        </w:rPr>
        <w:t>E. 8</w:t>
      </w:r>
    </w:p>
    <w:p>
      <w:r>
        <w:t>Entsprechend dem Verfahrensausgang sind die Kosten den unterliegen- den Beschwerdeführenden aufzuerlegen und auf Fr. 700.– festzusetzen (vgl. Art. 63 Abs. 1 VwVG i.V.m. Art. 1 ff. des Reglements vom 21. Feb- ruar 2008 über die Kosten und Entschädigungen vor dem Bundesverwal- tungsgericht [VGKE, SR 173.320.2]). Sie sind durch den in gleicher Höhe geleisteten Kostenvorschuss gedeckt.</w:t>
      </w:r>
    </w:p>
    <w:p>
      <w:r>
        <w:rPr>
          <w:b/>
        </w:rPr>
        <w:t>E. 9</w:t>
      </w:r>
    </w:p>
    <w:p>
      <w:r>
        <w:t>Dieses Urteil ist endgültig (Art. 83 Bst. c Ziff. 1 BGG).</w:t>
      </w:r>
    </w:p>
    <w:p>
      <w:r>
        <w:t>(Dispositiv: nachfolgende Seite)</w:t>
      </w:r>
    </w:p>
    <w:p>
      <w:r>
        <w:t>F-7089/2023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