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F-7084/2017 vom 18. Februar 2019</w:t>
      </w:r>
    </w:p>
    <w:p>
      <w:r>
        <w:t>Bundesverwaltungsgericht, 2019-02-18, IT</w:t>
      </w:r>
    </w:p>
    <w:p>
      <w:r>
        <w:rPr>
          <w:b/>
        </w:rPr>
        <w:t xml:space="preserve">Quelle: </w:t>
      </w:r>
      <w:r>
        <w:t>https://mcp.opencaselaw.ch/entscheid/bvger_F-7084_2017</w:t>
      </w:r>
    </w:p>
    <w:p>
      <w:r>
        <w:t>FR: TAF F-7084/2017 du 18 février 2019</w:t>
      </w:r>
    </w:p>
    <w:p>
      <w:r>
        <w:t>IT: TAF F-7084/2017 del 18 febbraio 2019</w:t>
      </w:r>
    </w:p>
    <w:p>
      <w:pPr>
        <w:pStyle w:val="Heading2"/>
      </w:pPr>
      <w:r>
        <w:t>Regeste</w:t>
      </w:r>
    </w:p>
    <w:p>
      <w:r>
        <w:t>Divieto d'entrata</w:t>
      </w:r>
    </w:p>
    <w:p>
      <w:pPr>
        <w:pStyle w:val="Heading2"/>
      </w:pPr>
      <w:r>
        <w:t>Erwägungen</w:t>
      </w:r>
    </w:p>
    <w:p>
      <w:r>
        <w:rPr>
          <w:b/>
        </w:rPr>
        <w:t>E. 1.1</w:t>
      </w:r>
    </w:p>
    <w:p>
      <w:r>
        <w:t>Riservate le eccezioni previste all'art. 32 della legge sul Tribunale amministrativo federale (LTAF, RS 173.32), giusta l'art. 31 LTAF il Tribunale giudica i ricorsi contro le decisioni ai sensi dell'art. 5 della legge federale sulla procedura amministrativa (PA, RS 172.021) prese dalle autorità menzionate all'art. 33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e l'art. 83 lett. c cifra 1 della legge sul Tribunale federale [LTF, RS 173.110]); cfr. inoltre la sentenza del TF 2C_270/2015 del 6 agosto 2015 consid. 1).</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gravame (art. 62 cpv. 4 PA). Rilevante è in primo luogo la situazione di fatto al momento del giudizio (DTAF 2014/1 consid. 2 e giurisprudenza ivi citata).</w:t>
      </w:r>
    </w:p>
    <w:p>
      <w:r>
        <w:rPr>
          <w:b/>
        </w:rPr>
        <w:t>E. 3.1</w:t>
      </w:r>
    </w:p>
    <w:p>
      <w:r>
        <w:t>Prima di affrontare le singole censure di merito avanzate nel gravame, occorre dirimere la censura in ordine alla violazione del diritto di essere sentito. L'insorgente ha infatti censurato che l'autorità inferiore non avrebbe considerato le osservazioni da lui addotte con scritto del 13 ottobre 2017, e meglio l'estinzione delle condanne penali pronunciate in Italia.</w:t>
      </w:r>
    </w:p>
    <w:p>
      <w:r>
        <w:rPr>
          <w:b/>
        </w:rPr>
        <w:t>E. 3.2</w:t>
      </w:r>
    </w:p>
    <w:p>
      <w:r>
        <w:t>Tra le garanzie procedurali generali previste all'art. 29 Cost. vi è anche il diritto di essere sentito (cfr. art. 29 cpv. 2 Cost.), il quale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Nel quadro della procedura amministrativa il diritto di essere sentito è consacrato dagli art. 26-28 (diritto di esaminare gli atti), dagli art. 29-33 (diritto di essere sentito strictu sensu) e dall'art. 35 PA (diritto di ottenere una decisione motivata). Con riferimento a quest'ultimo corollario, va detto che una decisione motivata permette al destinatario di comprenderne le ragioni e, se del caso, impugnarla in piena coscienza di causa; essa permette altresì all'autorità di ricorso di esercitare il suo controllo (cfr. DTF 134 I 83 consid. 4.1, DTF 129 I 232 consid. 3.2 con rinvii e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e DTF 126 I 97 consid. 2b; sentenze del Tribunale amministrativo federale A-2878/2013 del 21 novembre 2013 consid. 3.3.1; A-6258/2010 del 14 febbraio 2011 consid. 5.2.2 con riferimenti ivi citati;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e DTF 113 II 204 consid. 2; Lorenz Kneubühler, in: Christoph Auer/Markus Müller/Benjamin Schindler [ed.], Kommentar zum Bundesgesetz über das Verwaltungsverfahren (VwVG), Zurigo 2008, n. 8 ad art. 35 PA; Blaise Knapp, Précis de droit administratif, 4. ed., Basilea 1991, pagg. 150 seg.),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interessata nonché applicando i principi sviluppati dalla giurisprudenza del Tribunale federale. La motivazione può anche essere sommaria, ma vi si devono perlomeno dedurre gli elementi essenziali sui quali l'autorità si è fondata per rendere il proprio giudizio.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numerosi rinvii e DTF 116 V 28 consid. 3; [tra le molte] sentenza del Tribunale amministrativo federale A-3925/2009 del 27 febbraio 2012 consid. 4.2.1; Knapp, op. cit., pag. 150 seg.).</w:t>
      </w:r>
    </w:p>
    <w:p>
      <w:r>
        <w:rPr>
          <w:b/>
        </w:rPr>
        <w:t>E. 3.3</w:t>
      </w:r>
    </w:p>
    <w:p>
      <w:r>
        <w:t>Nel caso in esame, la motivazione a fondamento del provvedimento impugnato appare sufficiente. L'autorità di prima istanza ha infatti evidenziato come siano molteplici gli elementi a sostegno del divieto di entrata, concludendo di poi nella presenza di una grave minaccia reale e attuale alla sicurezza e agli ordini pubblici. In questo contesto le condanne subite in Italia rappresentano un elemento tra i tanti: se esse siano poi state oggetto di "estinzione", cosa che dagli elementi di causa sembra essere il caso unicamente per 2 condanne su 4, poco importa. In capo al ricorrente restano senza ombra di dubbio, oltre che alle condanne subìte in Svizzera e in Italia, i comportamenti delittuosi commessi dal soggetto che conducono a ritenere giustificato il provvedimento impugnato. Come ricordato, l'autorità non è inoltre tenuta a prendere posizione su tutti gli elementi fattuali invocati dal ricorrente, ma può limitarsi ad esporre le sole circostanze rilevanti per la decisione.</w:t>
      </w:r>
    </w:p>
    <w:p>
      <w:r>
        <w:rPr>
          <w:b/>
        </w:rPr>
        <w:t>E. 3.4</w:t>
      </w:r>
    </w:p>
    <w:p>
      <w:r>
        <w:t>Ferme queste premesse l'allegazione del ricorrente in ordine alla violazione del diritto di essere sentito nel corollario del diritto ad ottenere una decisone sufficientemente motivata è respinta.</w:t>
      </w:r>
    </w:p>
    <w:p>
      <w:r>
        <w:rPr>
          <w:b/>
        </w:rPr>
        <w:t>E. 4</w:t>
      </w:r>
    </w:p>
    <w:p>
      <w:r>
        <w:t>Conformemente alle regole generali del diritto intertemporale sono applicabili le disposizioni materiali in vigore al momento della realizzazione dello stato di fatto che deve essere valutato giuridicamente o che produce conseguenze giuridiche (cfr. DTF 130 V 445 consid. 1, con riferimento a DTF 130 V 329). Se si tratta di disposizioni formali, vale il principio generale secondo il quale, di regola, esse entrano immediatamente in vigore (cfr. DTF 130 V 4 consid. 3.2; sentenza TAF B-3771/2012 del 12 marzo 2013, consid. 1.4.3.1). La legge federale sugli stranieri del 16 dicembre 2005 (LStr, RS 142.20) è stata, con effetto dal 1° gennaio 2019, parzialmente modificata e ridenominata legge federale sugli stranieri e la loro integrazione (LStrI). Benché le sue modifiche materiali parziali non influiscano sulla trattazione della presente procedura, si utilizzerà in seguito la nuova abbreviazione LStrl. L'ordinanza sull'ammissione, il soggiorno e l'attività lucrativa del 24 ottobre 2007 (OASA, RS 142.201) è pure stata modificata con effetto dal 1° gennaio 2019. In particolare, l'art. 80 OASA è stato abrogato. Tuttavia, considerato che i fatti rilevanti del caso si sono svolti prima di questa data, benché i loro effetti perdurino tuttora, il detto articolo, che ha peraltro una valenza meramente illustrativa, rimane applicabile alla fattispecie e vi sarà pertanto fatto riferimento.</w:t>
      </w:r>
    </w:p>
    <w:p>
      <w:r>
        <w:rPr>
          <w:b/>
        </w:rPr>
        <w:t>E. 5.1</w:t>
      </w:r>
    </w:p>
    <w:p>
      <w:r>
        <w:t>Conformemente all'art. 67 cpv. 1 LStrl (RS 142.20), la SEM vieta l'entrata in Svizzera, fatto salvo il cpv. 5, ad uno straniero allontanato se, l'allontanamento è eseguito immediatamente in virtù dell'art. 64d cpv. 2 lett. a-c LStrl (cpv. 1 lett. a); lo straniero non ha lasciato la Svizzera entro il termine impartitogli (cpv. 1 lett. b). La SEM può inoltre vietare l'entrata in Svizzera allo straniero che ha violato o espone a pericolo l'ordine e la sicurezza pubblici in Svizzera o all'estero (art. 67 cpv. 2 lett. a LStrl);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LStrl). Infine l'autorità a cui compete la decisione può, per motivi umanitari o altri motivi gravi, rinunciare a pronunciare un divieto d'entrata oppure sospenderlo definitivamente o temporaneamente (art. 67 cpv. 5 LStrl).</w:t>
      </w:r>
    </w:p>
    <w:p>
      <w:r>
        <w:rPr>
          <w:b/>
        </w:rPr>
        <w:t>E. 5.2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LStrl, FF 2002 3327, pag. 3424 [di seguito: messaggio LStrl]). In particolare l'art. 80 cpv. 1 dell'ordinanza del 24 ottobre 2007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LStrl, n. marg. 3, pag. 270).</w:t>
      </w:r>
    </w:p>
    <w:p>
      <w:r>
        <w:rPr>
          <w:b/>
        </w:rPr>
        <w:t>E. 6.1</w:t>
      </w:r>
    </w:p>
    <w:p>
      <w:r>
        <w:t>Per coloro i quali vi si possono lecitamente richiamare, e nella misura in cui contenga disposizioni derogatorie più favorevoli, determinante è inoltre l'ALC. Il ricorrente è in casu di nazionalità italiana, di conseguenza nella valutazione della presente causa è necessario tenere conto delle disposizioni dell'ALC. La LStrl è applicabile solo se detto accordo non contiene disposizioni derogatorie o se essa prevede disposizioni più favorevoli (art. 2 cpv. 2 LStrl).</w:t>
      </w:r>
    </w:p>
    <w:p>
      <w:r>
        <w:rPr>
          <w:b/>
        </w:rPr>
        <w:t>E. 6.2</w:t>
      </w:r>
    </w:p>
    <w:p>
      <w:r>
        <w:t>L'ALC non prevede regole concernenti i divieti d'entrata, di conseguenza è applicabile l'art. 67 LStrl (cfr. art. 24 dell'ordinanza concernente l'introduzione graduale della libera circolazione delle persone tra la Confederazione Svizzera e l'Unione europea ed i suoi Stati membri nonché gli Stati membri dell'Associazione europea di libero scambio del 22 maggio 2002 [OLCP, RS 142.203]). Nondimeno, al fine di non privare la persona al beneficio dell'ALC dei diritti conferiti da detto trattato, l'art. 67 LStrl deve essere interpretato conformemente ai principi sanciti dall'ALC (cfr. DTF 139 II 121 consid. 5.1).</w:t>
      </w:r>
    </w:p>
    <w:p>
      <w:r>
        <w:rPr>
          <w:b/>
        </w:rPr>
        <w:t>E. 6.3</w:t>
      </w:r>
    </w:p>
    <w:p>
      <w:r>
        <w:t>In base all'ALC, le parti contraenti ammettono nel rispettivo territorio i cittadini dell'altra parte contraente ed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6.4</w:t>
      </w:r>
    </w:p>
    <w:p>
      <w:r>
        <w:t>Secondo la giurisprudenza, che si orienta alla direttiva 64/221/CEE del 25 febbraio 1964 del Consiglio per il coordinamento dei provvedimenti speciali riguardanti il trasferimento ed il soggiorno degli stranieri, giustificati da motivi di ordine pubblico, di pubblica sicurezza e di sanità pubblica (cfr. GU P 56 del 4 aprile 1964, pagg. 851-857) ed alla prassi della Corte di giustizia dell'Unione europea ad essa relativa (art. 5 cpv. 2 allegato I ALC), l'adozione di misure di allontanamento presuppone, al di là della turbativa insita in ogni violazione di legge, la sussistenza di una minaccia effettiva e sufficientemente grave per 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6.5</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originata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6.6</w:t>
      </w:r>
    </w:p>
    <w:p>
      <w:r>
        <w:t>Inoltre 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6.7</w:t>
      </w:r>
    </w:p>
    <w:p>
      <w:r>
        <w:t>Ne discende che, affinché un cittadino di uno Stato membro dell'ALC possa essere oggetto di una decisione di divieto d'entrata in Svizzera ai sensi dell'art. 67 cpv. 2 lett. a LStrl, occorre che egli rappresenti una minaccia di una certa gravità per l'ordine e la sicurezza pubblici, atta a privarlo del diritto di entrare in territorio elvetico ai sensi dell'art. 5 allegato I ALC.</w:t>
      </w:r>
    </w:p>
    <w:p>
      <w:r>
        <w:rPr>
          <w:b/>
        </w:rPr>
        <w:t>E. 6.8</w:t>
      </w:r>
    </w:p>
    <w:p>
      <w:r>
        <w:t>Inoltre, come nel caso di qualsiasi altro cittadino straniero, l'esame deve essere effettuato tenendo presente le garanzie derivanti dalla CEDU così come il principio di proporzionalità (cfr. DTF 131 II 352 consid. 3.3 e numerosi rinvii).</w:t>
      </w:r>
    </w:p>
    <w:p>
      <w:r>
        <w:rPr>
          <w:b/>
        </w:rPr>
        <w:t>E. 7</w:t>
      </w:r>
    </w:p>
    <w:p>
      <w:r>
        <w:t>Giova altresì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adempia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LStrl, FF 2002 3327, pag. 3428).</w:t>
      </w:r>
    </w:p>
    <w:p>
      <w:r>
        <w:rPr>
          <w:b/>
        </w:rPr>
        <w:t>E. 8.1</w:t>
      </w:r>
    </w:p>
    <w:p>
      <w:r>
        <w:t>Nel caso che qui ci occupa, l'autorità inferiore ha pronunciato nei confronti del ricorrente un divieto d'entrata in Svizzera e nel Liechtenstein della durata di quattro anni, valido fino al 7 novembre 2021, ritenendo che egli avesse gravemente violato e minacciato la sicurezza e l'ordine pubblici, poiché condannato ripetutamente in Italia, segnatamente per infrazioni patrimoniali, e rispettivamente in Svizzera dove con 3 decreti di accusa è stato ritenuto colpevole di infrazione aggravata alla legge sulla circolazione stradale.</w:t>
      </w:r>
    </w:p>
    <w:p>
      <w:r>
        <w:rPr>
          <w:b/>
        </w:rPr>
        <w:t>E. 8.2</w:t>
      </w:r>
    </w:p>
    <w:p>
      <w:r>
        <w:t>Dalla documentazione agli atti emerge in effetti che l'insorgente ha interessato le autorità penali italiane a più riprese e in maniera regolare. Il presente Tribunale deve inoltre costatare che gli atti penalmente reprensibili hanno preso inizio perlomeno nel 1999, anno della prima sentenza di condanna. Per quanto riguarda invece il carattere delle infrazioni si rileva che il ricorrente è stato riconosciuto colpevole di reati contro il patrimonio (truffa) e contro l'onore (la calunnia); egli ha pure ripetutamente commesso il reato, contemplato nel codice penale italiano, di esercizio abusivo di una professione. Pure in Svizzera il ricorrente ha commesso atti penalmente reprensibili in modo regolare nel 2010, nel 2013 e nel 2016: in particolare commettendo infrazioni gravi alla norme sulla circolazione stradale. In ragione della cadenza regolare come pure il fatto che l'agire delittuoso si sia protratto per un prolungato periodo di tempo, il Tribunale ritiene che il giudizio in ordine al provvedimento di divieto d'entrata pronunciato dell'autorità inferiore non sia censurabile: esso soddisfa infatti le condizioni che permettono una deroga al principio della libera circolazione sancito dall'ALC.</w:t>
      </w:r>
    </w:p>
    <w:p>
      <w:r>
        <w:rPr>
          <w:b/>
        </w:rPr>
        <w:t>E. 9.1</w:t>
      </w:r>
    </w:p>
    <w:p>
      <w:r>
        <w:t>Ritenuto quanto sopra è dunque necessario esaminare se esista una concreta e attuale minaccia, tenendo ben presente che il provvedimento impugnato non deve essere subordinato alla condizione di certezza assoluta in ordine alla commissione di nuove infrazioni penali; d'altro canto non si deve nemmeno pretendere una totale assenza del rischio di recidiva per rinunciare a tale provvedimento.</w:t>
      </w:r>
    </w:p>
    <w:p>
      <w:r>
        <w:rPr>
          <w:b/>
        </w:rPr>
        <w:t>E. 9.2</w:t>
      </w:r>
    </w:p>
    <w:p>
      <w:r>
        <w:t>Come esposto più sopra il ricorrente ha commesso in Svizzera, atti delittuosi in maniera ripetuta e regolare il febbraio del 2010 e l'agosto 2016. In Italia egli ha commesso diversi altri reati per un periodo sensibilmente prolungato dal 1999 al 2016. Dagli atti di causa è altresì emerso che nei confronti dell'insorgente è in corso un procedimento penale, per diverse tipologie di reato tra cui truffa, cattiva gestione e appropriazione indebita di imposta alla fonte. Ora, sebbene allo stadio attuale il presente Tribunale non è a conoscenza di un sentenza penale cresciuta in giudicato per le infrazioni contestate al ricorrente, non si può in ogni caso ingnorare l'esistenza di questo procedimento. In ogni caso, anche volendo fare astrazione del procedimento penale in corso, le diverse condanne subite in Italia come pure le infrazioni commesse in Svizzera sono sufficienti per ritenere che il provvedimento impugnato sia giustificato. In questo contesto non possono trovare tutela le affermazioni del ricorrente secondo cui gli atti commessi in Svizzera non configurano una gravità sufficiente per ammettere il provvedimento: a differenza di quanto illustrato dall'insorgente, le infrazioni commesse sono il frutto di atti che hanno generato pericoli concreti per la collettività, poco importa se conseguentemente ad esse sono avvenuti e meno incidenti stradali. Va infine rilevato che l'insorgente ha indicato come alcune condanne penali subìte in Italia abbiano beneficiato nel corso degli anni una "riabilitazione". Orbene, come giustamente illustrato dall'autorità di prima istanza, un'eventuale "misura riabilitativa" avvenuta in Italia, non obbliga le autorità amministrative svizzere nella loro analisi approfondita circa le probabilità di recidiva e di minaccia attuale.</w:t>
      </w:r>
    </w:p>
    <w:p>
      <w:r>
        <w:rPr>
          <w:b/>
        </w:rPr>
        <w:t>E. 9.3</w:t>
      </w:r>
    </w:p>
    <w:p>
      <w:r>
        <w:t>Alla luce delle circostanze sopra esposte, il Tribunale ritiene che il rischio di recidiva non possa essere escluso. Ne discende che la minaccia per l'ordine e la sicurezza pubblici rappresentata dall'insorgente deve essere ritenuta attuale, ragione per cui è giustificata l'emanazione di una misura di allontanamento dal territorio elvetico.</w:t>
      </w:r>
    </w:p>
    <w:p>
      <w:r>
        <w:rPr>
          <w:b/>
        </w:rPr>
        <w:t>E. 10.1</w:t>
      </w:r>
    </w:p>
    <w:p>
      <w:r>
        <w:t>Il divieto d'entrata in Svizzera e nel Liechtenstein è quindi confermato nel suo principio. Resta ora da stabilire se la durata della misura, fissata in quattro anni dall'autorità intimata, sia conforme al principio di proporzionalità e, procedendo ad un apprezzamento degli interessi privati e pubblici in gioco, valutare se sia adeguata alle circostanze del caso concreto.</w:t>
      </w:r>
    </w:p>
    <w:p>
      <w:r>
        <w:rPr>
          <w:b/>
        </w:rPr>
        <w:t>E. 10.2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10.3</w:t>
      </w:r>
    </w:p>
    <w:p>
      <w:r>
        <w:t>Quo all'interesse pubblico all'allontanamento del ricorrente dal territorio elvetico, si è già detto ai considerandi precedenti.</w:t>
      </w:r>
    </w:p>
    <w:p>
      <w:r>
        <w:rPr>
          <w:b/>
        </w:rPr>
        <w:t>E. 10.4</w:t>
      </w:r>
    </w:p>
    <w:p>
      <w:r>
        <w:t>Quanto all'esistenza di eventuali interessi privati all'annullamento del provvedimento pronunciato il ricorso ne è silente. Infatti egli si limita a riferire in modo generico circa la violazione del principio della proporzionalità senza però allegare in concreto quali sono gli importanti interessi privati da tutelare, che allo stesso tempo sono preponderanti sull'interesse pubblico alla conferma della decisione impugnata. Ciò posto, dalle considerazioni che precedono, ne deriva che l'interesse pubblico all'allontanamento dell'insorgente dalla Svizzera e dal Liechtenstein prevale su quello privato di cui come detto la procedura ricorsuale ne è silente. Di conseguenza emerge che il divieto d'entrata di quattro anni è adeguato alle circostanze del caso concreto.</w:t>
      </w:r>
    </w:p>
    <w:p>
      <w:r>
        <w:rPr>
          <w:b/>
        </w:rPr>
        <w:t>E. 11</w:t>
      </w:r>
    </w:p>
    <w:p>
      <w:r>
        <w:t>A mente del ricorrente inoltre l'autorità di prima istanza, nella valutazione operata avrebbe violato il principio di presunzione di innocenza menzionato all'art. 32 cpv. 1 della Costituzione federale (Cost., RS 101), poiché la procedura ricorsuale che lo riguarda non sarebbe ancora confluita in una sentenza di condanna penale, cresciuta in giudicato. In proposito, il Tribunale rileva che la giurisprudenza ha più volte riconosciuto che il principio di innocenza garantito dall'art. 32 cpv. 1 Cost., nonché dall'art. 6 cifra 2 della Convenzione del 4 novembre 1950 per la salvaguardia dei diritti dell'uomo e delle libertà fondamentali (CEDU; RS 0.101), trova applicazione unicamente in diritto penale (sentenze del TAF A-646/2016 del 19 ottobre 2016 consid. 8; A-344/2008 del 30 marzo 2010 consid. 6.1; A-1337/2007 del 21 settembre 2009 consid. 3.1; C-777/2007 del 9 gennaio 2009 consid. 7). Ciò detto, considerato che la decisione della SEM, è chiaramente di natura amministrativa e non penale, la censura sollevata dal ricorrente relativa alla violazione del principio di presunzione di innocenza non può essere ammessa.</w:t>
      </w:r>
    </w:p>
    <w:p>
      <w:r>
        <w:rPr>
          <w:b/>
        </w:rPr>
        <w:t>E. 12</w:t>
      </w:r>
    </w:p>
    <w:p>
      <w:r>
        <w:t>L'insorgente ha infine censurato genericamente la violazione del principio del divieto di arbitrio (art. 9 Cost. e art. 5 cpv. 3 Cost.). Tale censura si appalesa tuttavia insufficientemente motivata e quindi inammissibile.</w:t>
      </w:r>
    </w:p>
    <w:p>
      <w:r>
        <w:rPr>
          <w:b/>
        </w:rPr>
        <w:t>E. 13</w:t>
      </w:r>
    </w:p>
    <w:p>
      <w:r>
        <w:t>Considerato quanto sopra esposto, con la decisione dell'8 novembre 2017 qui impugnata, l'autorità inferiore non ha violato il diritto federale, né abusato del suo potere di apprezzamento e non ha nemmeno accertato in modo inesatto o incompleto i fatti giuridicamente rilevanti; infine la decisione non è inadeguata (art. 49 PA). Per questi motivi il ricorso va respinto.</w:t>
      </w:r>
    </w:p>
    <w:p>
      <w:r>
        <w:rPr>
          <w:b/>
        </w:rPr>
        <w:t>E. 14</w:t>
      </w:r>
    </w:p>
    <w:p>
      <w:r>
        <w:t>Le spese giudiziarie di 1'000.- fr. seguono la soccombenza e sono poste a carico del ricorrente (art. 63 cpv. 1 e 5 PA nonché art. 3 lett. b del regolamento sulle tasse e sulle spese ripetibili nelle cause dinanzi al Tribunale amministrativo federale del 21 febbraio 2008 [TS-TAF, RS 173.320.2]).</w:t>
      </w:r>
    </w:p>
    <w:p>
      <w:r>
        <w:rPr>
          <w:b/>
        </w:rPr>
        <w:t>E. 15</w:t>
      </w:r>
    </w:p>
    <w:p>
      <w:r>
        <w:t>Visto l'esito della procedura non sono assegnate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