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F-7078/2024 vom 18. November 2024</w:t>
      </w:r>
    </w:p>
    <w:p>
      <w:r>
        <w:t>Bundesverwaltungsgericht, 2024-11-18, DE</w:t>
      </w:r>
    </w:p>
    <w:p>
      <w:r>
        <w:rPr>
          <w:b/>
        </w:rPr>
        <w:t xml:space="preserve">Quelle: </w:t>
      </w:r>
      <w:r>
        <w:t>https://mcp.opencaselaw.ch/entscheid/bvger_F-7078_2024</w:t>
      </w:r>
    </w:p>
    <w:p>
      <w:r>
        <w:t>FR: TAF F-7078/2024 du 18 novembre 2024</w:t>
      </w:r>
    </w:p>
    <w:p>
      <w:r>
        <w:t>IT: TAF F-7078/2024 del 18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i.V.m. Art. 48 Abs. 1 VwVG). Auf die frist- und formgerecht eingereichte Beschwerde ist - vorbehältlich der nachfolgenden Erwägung 1.3 - einzutreten (Art. 108 Abs. 3 AsylG i.V.m. Art. 52 Abs. 1 VwVG).</w:t>
      </w:r>
    </w:p>
    <w:p>
      <w:r>
        <w:rPr>
          <w:b/>
        </w:rPr>
        <w:t>E. 1.3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Rechtsbegehren des Beschwerdeführers zielen jedoch auf die Anerkennung der Flüchtlingseigenschaft und die Gewährung von Asyl, subsidiär auf die Gewährung der vorläufigen Aufnahme ab (vgl. Bst. E). Diese Rechtsbegehren befinden sich ausserhalb des Anfechtungsgegenstands und sind folglich unzulässig. Auf sie ist nicht einzutreten. Dementsprechend erübrigen sich Weiterungen zu den Ausführungen des Beschwerdeführers hinsichtlich seiner Bedrohung durch die Taliban in Afghanistan respektive der Lebensbedingungen von ihm und seiner Familie im Iran. Der Beschwerdeführer handelte jedoch ohne Rechtsvertretung und aus der Begründung geht hervor, dass er sich der Überstellung nach Bulgarien widersetzen wollte. Dabei handelt es sich im vorliegenden Kontext eines Nichteintretensentscheids (Dublin) um ein zulässiges Rechtsbegehren, weshalb auf die Beschwerde insofern einzutreten ist.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erweist sich - wie im Folgenden zu zeigen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Aus dem Vorbringen, sein Bruder beziehungsweise dessen Familie lebe in der Schweiz, vermag der Beschwerdeführer nichts zu seinen Gunsten abzuleiten. Gemäss Art. 2 Bst. g Dublin-III-VO umfasst der Begriff der Familienangehörigen nur die Kernfamilie, das heisst Ehegatten, Lebenspartnerinnen und Lebenspartner sowie minderjährige Kinder. Seine in der Schweiz lebenden Familienangehörigen fallen somit nicht in die Kategorie der Familienangehörigen im Sinne der Dublin-III-VO. Ein Abhängigkeitsverhältnis im Sinne von Art. 16 Abs. 1 Dublin-III-VO, welches die Zuständigkeit der Schweiz für die Behandlung seines Asylgesuchs zu begründen vermöchte, ist weder geltend gemacht noch wird ein solches aus den Akten ersichtlich.</w:t>
      </w:r>
    </w:p>
    <w:p>
      <w:r>
        <w:rPr>
          <w:b/>
        </w:rPr>
        <w:t>E. 4.2</w:t>
      </w:r>
    </w:p>
    <w:p>
      <w:r>
        <w:t>Die grundsätzliche staatsvertragliche Zuständigkeit der bulgarischen Behörden gestützt auf Art. 12 Abs. 4 Dublin-III-VO ist somit vorliegend gegeben. Es ist daran zu erinnern, dass die Dublin-III-VO den Antragstellern kein Wahlrecht hinsichtlich des Mitgliedstaates gewährt, der ihren Antrag prüfen soll (BVGE 2010/45 E. 8.3).</w:t>
      </w:r>
    </w:p>
    <w:p>
      <w:r>
        <w:rPr>
          <w:b/>
        </w:rPr>
        <w:t>E. 5</w:t>
      </w:r>
    </w:p>
    <w:p>
      <w:r>
        <w:t>Nach konstanter Rechtsprechung des Bundesverwaltungsgerichts weist das Asylverfahren in Bulgarien keine systemischen Schwachstellen gemäss Art. 3 Abs. 2 Dublin-III-VO auf (vgl. Urteile des BVGer F-7195/2018 vom 11. Februar 2020 [als Referenzurteil publiziert] E. 6.6.7; jüngst F-5573/2024 vom 19. September 2024 E. 4.4; je m.w.H.). Bei dieser Ausgangslage erübrigen sich Weiterungen zur geltend gemachten Gefahr einer allfälligen Kettenabschiebung (einlässlich dazu Urteil des EuGH vom 30. November 2023, verbundene Rechtssachen C-228/21, C-254/21, C-297/21, C-315/21 und C-328/21, §§ 129-142 und Ziff. 2 des Dispositivs). Folglich verbleibt kein Raum für die Anwendung von Art. 3 Abs. 2 Dublin-III-VO.</w:t>
      </w:r>
    </w:p>
    <w:p>
      <w:r>
        <w:rPr>
          <w:b/>
        </w:rPr>
        <w:t>E. 6.1</w:t>
      </w:r>
    </w:p>
    <w:p>
      <w:r>
        <w:t>Schliesslich ist die Ausübung des Selbsteintrittsrechts nach Art. 17 Abs. 1 erster Satz Dublin-III-VO in Verbindung mit Art. 29a Abs. 3 AsylV 1 zu prüfen, dessen Anwendung der Beschwerdeführer sinngemäss fordert.</w:t>
      </w:r>
    </w:p>
    <w:p>
      <w:r>
        <w:rPr>
          <w:b/>
        </w:rPr>
        <w:t>E. 6.2</w:t>
      </w:r>
    </w:p>
    <w:p>
      <w:r>
        <w:t>Bulgarien ist Signatarstaat der EMRK, des Übereinkommens vom 10. Dezember 1984 gegen Folter und andere grausame, unmenschliche oder erniedrigende Behandlung oder Strafe (FoK, SR 0.105), des Abkommens vom 28. Juli 1951 über die Rechtsstellung der Flüchtlinge (FK, SR 0.142.30), des Zusatzprotokolls der FK vom 3. Januar 1967 (SR 0.142.301) sowie des Übereinkommens zur Beseitigung jeder Form von Rassendiskriminierung vom 21. Dezember 1965 (CERD, SR 0.104) und hat die diesbezüglichen völkerrechtlichen Verpflichtungen zu beachten.</w:t>
      </w:r>
    </w:p>
    <w:p>
      <w:r>
        <w:rPr>
          <w:b/>
        </w:rPr>
        <w:t>E. 6.3</w:t>
      </w:r>
    </w:p>
    <w:p>
      <w:r>
        <w:t>Auch angesichts der anerkanntermassen schwierigen Bedingungen für Asylsuchende in Bulgarien lassen die Vorbringen des Beschwerdeführers (menschenunwürdige Bedingungen bzw. drohende Obdachlosigkeit) nicht den Schluss zu, er habe bei einer Überstellung nach Bulgarien mit hoher Wahrscheinlichkeit eine unmenschliche oder erniedrigende Behandlung im Sinne von Art. 3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6.4</w:t>
      </w:r>
    </w:p>
    <w:p>
      <w:r>
        <w:t>In Bezug auf seinen Gesundheitszustand gab der Beschwerdeführer anlässlich des Dublin-Gespräches zu Protokoll, keine körperlichen Beschwerden zu haben; jedoch sei er seelisch sehr belastet, da er immer an seine Familie denken müsse. Er könne nachts nicht schlafen und finde weder am Tag noch in der Nacht Ruhe, weshalb ihm manchmal das Atmen schwerfalle. Aus dem Verlaufsblatt der medizinischen Betreuung des Bundesasylzentrums (BAZ) wird ersichtlich, dass der Beschwerdeführer diese mehrere Male konsultiert hat und entsprechend behandelt worden ist, etwa wegen (...). Gemäss einem Arztbericht vom 30. Oktober 2024 wurden beim Beschwerdeführer wiederkehrende Schmerzen im unteren Rücken (Lumbalgie) diagnostiziert. Gemäss Auskunft der medizinischen Betreuung vom 1. November 2024 hat er schliesslich keine ausstehenden Arzttermine. In Würdigung der Akten ist nicht davon auszugehen, dass die gesundheitlichen Leiden des Beschwerdeführers einen Schweregrad erreichen werden, der die Annahme rechtfertigen würde, eine Überstellung nach Bulgarien sei nicht oder nur nach Einholung einer individuellen Garantie der bulgarischen Behörden mit Art. 3 EMRK vereinbar (vgl. BVGE 2011/9 E. 7; Urteile des EGMR Paposhvili gegen Belgien 13. Dezember 2016, Grosse Kammer 41738/10, §§ 180-193 m.H., bestätigt durch Savran gegen Dänemark vom 7. Dezember 2021, Grosse Kammer 57467/15, §§ 121 ff.; Referenzurteil F-7195/2018 E. 7.4.1 f.).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w:t>
      </w:r>
    </w:p>
    <w:p>
      <w:r>
        <w:rPr>
          <w:b/>
        </w:rPr>
        <w:t>E. 6.5</w:t>
      </w:r>
    </w:p>
    <w:p>
      <w:r>
        <w:t>Somit stehen weder Art. 3 EMRK noch andere völkerrechtliche Bestimmungen einer Überstellung des Beschwerdeführers nach Bulgarien entgegen. Die Vorinstanz hat das Selbsteintrittsrecht gemäss Art. 17 Abs. 1 Dublin-III-VO und Art. 29a Abs. 3 AsylV 1 zulässigerweise nicht ausgeübt. Das ihr zustehende Ermessen hat sie in Vornahme einer hinreichenden Einzelfallprüfung rechtskonform ausgeübt (vgl. BVGE 2015/9 E. 8).</w:t>
      </w:r>
    </w:p>
    <w:p>
      <w:r>
        <w:rPr>
          <w:b/>
        </w:rPr>
        <w:t>E. 7</w:t>
      </w:r>
    </w:p>
    <w:p>
      <w:r>
        <w:t>Zusammenfassend bleibt es bei der Zuständigkeit Bulgariens für die Durchführung des Asyl- und Wegweisungsverfahrens. Zu Recht ist die Vorinstanz auf das Asylgesuch des Beschwerdeführers nicht eingetreten und hat seine Überstellung nach Bulgarien verfügt. Die Beschwerde ist abzuweisen, soweit darauf einzutreten ist.</w:t>
      </w:r>
    </w:p>
    <w:p>
      <w:r>
        <w:rPr>
          <w:b/>
        </w:rPr>
        <w:t>E. 8.1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8.2</w:t>
      </w:r>
    </w:p>
    <w:p>
      <w:r>
        <w:t>Die Gesuche um Gewährung der unentgeltlichen Prozessführung beziehungsweise um Beiordnung eines amtlichen Rechtsbeistands sind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