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F-7068/2016 vom 8. November 2018</w:t>
      </w:r>
    </w:p>
    <w:p>
      <w:r>
        <w:t>Bundesverwaltungsgericht, 2018-11-08, DE</w:t>
      </w:r>
    </w:p>
    <w:p>
      <w:r>
        <w:rPr>
          <w:b/>
        </w:rPr>
        <w:t xml:space="preserve">Quelle: </w:t>
      </w:r>
      <w:r>
        <w:t>https://mcp.opencaselaw.ch/entscheid/bvger_F-7068_2016</w:t>
      </w:r>
    </w:p>
    <w:p>
      <w:r>
        <w:t>FR: TAF F-7068/2016 du 8 novembre 2018</w:t>
      </w:r>
    </w:p>
    <w:p>
      <w:r>
        <w:t>IT: TAF F-7068/2016 del 8 novembre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rügt in formeller Hinsicht eine Verletzung des Anspruchs auf rechtliches Gehör (vgl. Art. 29 Abs. 2 BV und Art. 29 ff. VwVG). Das SEM habe das Einreiseverbot erlassen, obwohl das Amt für Migration nicht konkret ausgeführt habe, aufgrund welcher Umstände ein Einreiseverbot verhängt werden solle. Im Weiteren sei die vorinstanzliche Verfügung mangelhaft begründet, weil nicht ausgeführt worden sei, inwiefern er (der Beschwerdeführer) eine schwerwiegende Gefahr für die öffentliche Sicherheit und Ordnung darstelle, welche ein mehr als fünf Jahre dauerndes Einreiseverbot rechtfertigen könne.</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Gleichsam das Kernelement des rechtlichen Gehörs ist das Recht auf vorgängige Äusserung und Anhörung,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 Aufl. 2016, Art. 29 N 80 ff., Art. 30 N 3 ff. u. Art. 32 N 6 ff.; Kölz/Häner/Bertschi, Verwaltungsverfahren und Verwaltungsrechtspflege des Bundes, 3. Aufl., 2013, N 214 ff. u. N 546 f.). In engem Konnex hiermit steht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Dies bedeutet indessen nicht, dass sie sich ausdrücklich mit jeder tatbeständlichen Behauptung und jedem rechtlichen Einwand auseinandersetzen muss. Vielmehr kann sie sich auf die für den Entscheid wesentlichen Gesichtspunkte beschränken.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a.a.O., N 629 ff.; Lorenz Kneubühler, Die Begründungspflicht, 1998, S. 26 ff. u. S. 178 ff.; René Wiederkehr, Die Begründungspflicht nach Art. 29 Abs. 2 BV und die Heilung bei Verletzung, ZBl 9/2010 S. 484 ff.).</w:t>
      </w:r>
    </w:p>
    <w:p>
      <w:r>
        <w:rPr>
          <w:b/>
        </w:rPr>
        <w:t>E. 3.3</w:t>
      </w:r>
    </w:p>
    <w:p>
      <w:r>
        <w:t>Entgegen seiner anderslautenden Behauptung hatte der Beschwerdeführer sehr wohl Gelegenheit, zur gegen ihn verhängten Fernhaltemassnahme vorgängig und in rechtsgenüglicher Weise Stellung zu nehmen. Mit Schreiben vom 21. September 2016 hat die kantonale Migrationsbehörde seinen Rechtsvertreter ausdrücklich darauf hingewiesen, dass die Gründe für den Antrag eines allfälligen Einreiseverbots ohne weiteres aus ihrer (ausführlich begründeten) Verfügung vom 9. Januar 2014 betreffend Nichtverlängerung der Aufenthaltsbewilligung und Wegweisung ersichtlich seien (vgl. Akten AFM pag. 1619). Der Beschwerdeführer konnte denn auch mit Eingabe vom 29. September 2016 entsprechend Stellung nehmen (vgl. Akten AFM pag. 1629). Sein Gehörsanspruch wurde somit durch das beschriebene Vorgehen der Behörden fraglos gewahrt.</w:t>
      </w:r>
    </w:p>
    <w:p>
      <w:r>
        <w:rPr>
          <w:b/>
        </w:rPr>
        <w:t>E. 3.4</w:t>
      </w:r>
    </w:p>
    <w:p>
      <w:r>
        <w:t>Die Begründung der angefochtenen Verfügung ist unter dem Aspekt des Anspruchs auf rechtliches Gehör als genügend zu erachten. Aus ihr geht mit hinreichender Klarheit hervor, auf welchen Sachverhalt die Vorinstanz abstellte und welche gesetzliche Folge sie diesem gab. Zum einen verwies sie auf die zahlreichen Vorstrafen des Beschwerdeführers und zum andern auf seine desolate finanzielle Situation mit offenen Verlustscheinen im Gesamtbetrag von über Fr. 110'000.- und seine langjährige Abhängigkeit von der Sozialhilfe. Dementsprechend war es für den Beschwerdeführer ohne weiteres erkennbar, aus welchen Gründen von einer qualifizierten Gefährdung nach Art. 67 Abs. 3 zweiter Satz AuG, zu welcher in der vor-instanzlichen Vernehmlassung noch weitere Ausführungen gemacht wurden, ausgegangen wurde. Auf das dem Beschwerdeführer eingeräumte Replikrecht wurde denn auch stillschweigend verzichtet. Schliesslich machte das SEM ausreichend klar, dass und aus welchen Gründen die vom Beschwerdeführer vorgebrachten privaten Interessen gegenüber dem öffentlichen Interesse an seiner Fernhaltung zurückzustehen haben. Dies gilt umso mehr, als im ausländerrechtlichen Verfahren auf Nichtverlängerung der Aufenthaltsbewilligung und Wegweisung eine eng verwandte und sehr ausführliche Güterabwägung vorgenommen wurde, und dem Betroffenen daher klar sein musste, warum die Vorinstanz seinen Argumenten keine entscheidende Bedeutung beimass, zumal er damals wie heute durch denselben Rechtsanwalt vertreten wird (vgl. dazu Urteil des BVGer F-6623/2016 vom 22. März 2018 E. 3.3 m.H.). Seine Rügen sind daher als unbegründet zurückzuweisen. Soweit diese Sachverhalts- und Subsumtionsfragen beinhalten, bilden sie überdies Gegenstand der materiell-rechtlichen Beurteilung.</w:t>
      </w:r>
    </w:p>
    <w:p>
      <w:r>
        <w:rPr>
          <w:b/>
        </w:rPr>
        <w:t>E. 4.1</w:t>
      </w:r>
    </w:p>
    <w:p>
      <w:r>
        <w:t>Gemäss Art. 67 Abs.1 AuG verfügt das SEM ein Einreiseverbot unter Vorbehalt von Absatz 5 gegenüber weggewiesenen Ausländerinnen und Ausländern, wenn die Wegweisung nach Art. 64d Abs. 2 Bst. a - c AuG sofort vollstreckt wird (Bst. a) oder die betroffene Person der Ausreiseverpflichtung nicht innert der angesetzten Frist nachgekommen ist (Bst. b). Nach Art. 67 Abs. 2 AuG kann das SEM gegen ausländische Personen, die gegen die öffentliche Sicherheit und Ordnung in der Schweiz oder im Ausland verstossen haben oder diese gefährden (Bst. a), Sozialhilfekosten verursacht haben (Bst. b) oder in Vorbereitungs-, Ausschaffungs- oder Durchsetzungshaft genommen worden sind (Bst. c), ein Einreiseverbot erlassen. Das Einreiseverbot wird für die Dauer von höchstens fünf Jahren verfügt. Eine längere Dauer kann angeordnet werden, wenn die betroffene Person eine schwerwiegende Gefahr für die öffentliche Sicherheit und Ordnung darstellt (Art. 67 Abs. 3 AuG). Aus humanitären oder anderen wichtigen Gründen kann die Behörde von der Verhängung eines Einreiseverbotes absehen oder ein Einreiseverbot vollständig oder vorübergehend aufheben (Art. 67 Abs. 5).</w:t>
      </w:r>
    </w:p>
    <w:p>
      <w:r>
        <w:rPr>
          <w:b/>
        </w:rPr>
        <w:t>E. 4.2</w:t>
      </w:r>
    </w:p>
    <w:p>
      <w:r>
        <w:t>Das Einreiseverbot ist keine Sanktion für vergangenes Fehlverhalten, sondern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Die Verhängung eines Einreiseverbots knüpft an das Bestehen eines Risikos einer künftigen Gefährdung an. Gestützt auf die Umstände des Einzelfalls ist eine Prognose zu stellen. Dabei ist naturgemäss in erster Linie das vergangene Verhalten der betroffenen Person zu berücksichtigen (vgl. Urteil des BVGer C-956/2012 vom 7. Oktober 2013 E. 5.2 m.H.).</w:t>
      </w:r>
    </w:p>
    <w:p>
      <w:r>
        <w:rPr>
          <w:b/>
        </w:rPr>
        <w:t>E. 4.3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Abl. L 381/4 vom 28. Dezember 2006; Art. 21 der N-SIS-Verordnung vom 8. März 2013 [SR 362.0]). Damit wird der betroffenen Person grundsätzlich die Einreise in das Hoheitsgebiet aller Schengen-Staaten verboten (vgl. Art. 6 Abs. 1 Bst. d sowie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Die Mitgliedstaaten können ihr aus wichtigen Gründen oder aufgrund internationaler Verpflichtungen die Einreise gestatten bzw. ein Visum mit räumlich beschränkter Gültigkeit ausstellen (vgl. Art. 6 Abs. 5 Bst. c SGK und Art. 25 Abs. 1 Bst. a Visakodex).</w:t>
      </w:r>
    </w:p>
    <w:p>
      <w:r>
        <w:rPr>
          <w:b/>
        </w:rPr>
        <w:t>E. 5.1</w:t>
      </w:r>
    </w:p>
    <w:p>
      <w:r>
        <w:t>Die Vorinstanz verwies zur Begründung ihres auf die Dauer von neun Jahren ausgesprochenen Einreiseverbots im Wesentlichen auf die zahlreichen Vorstrafen des Beschwerdeführers, namentlich wegen Widerhandlungen gegen das Strassenverkehrsgesetz, die Verursachung von Sozialhilfekosten in beträchtlichem Ausmass, die fortlaufende Missachtung seiner finanziellen Verpflichtungen sowie dessen Schuldenmacherei. Zudem habe sich der Betroffene trotz rechtskräftiger Wegweisungsverfügung während fast eines Jahres bewusst widerrechtlich in der Schweiz aufgehalten.</w:t>
      </w:r>
    </w:p>
    <w:p>
      <w:r>
        <w:rPr>
          <w:b/>
        </w:rPr>
        <w:t>E. 5.2.1</w:t>
      </w:r>
    </w:p>
    <w:p>
      <w:r>
        <w:t>Dass der Beschwerdeführer allein zwischen 1992 und 2013 fünfmal wegen Fahrens in angetrunkenem Zustand, mehrmals wegen Fahrens trotz Entzug des Lernfahrausweises bzw. Führerausweises sowie grober Verkehrsregelverletzung und schliesslich auch wegen Hehlerei und einfacher Körperverletzung mit gefährlichem Gegenstand verurteilt werden musste, geht aus den Akten hervor und wird nicht bestritten (vgl. Bst. A.b, A.c, A.f und B.b des Sachverhalts). Der Beschwerdeführer hat mithin klarerweise wiederholt und erheblich gegen die öffentliche Sicherheit und Ordnung verstossen und damit unter dem Gesichtspunkt von Art. 67 Abs. 2 Bst. a AuG hinreichenden Anlass für die Verhängung eines Einreiseverbots gegeben. Die Einwendungen des Beschwerdeführers beziehen sich denn auch primär auf die Verhältnismässigkeit der angefochtenen Massnahme und werden später geprüft (vgl. E. 7 hiernach).</w:t>
      </w:r>
    </w:p>
    <w:p>
      <w:r>
        <w:rPr>
          <w:b/>
        </w:rPr>
        <w:t>E. 5.2.2</w:t>
      </w:r>
    </w:p>
    <w:p>
      <w:r>
        <w:t>Wie oben erwähnt, wird dem Beschwerdeführer von der Vorinstanz aber auch vorgeworfen, während seines langjährigen Aufenthalts in der Schweiz Sozialhilfekosten von über Fr. 100'000.- verursacht zu haben. Die Verursachung von Sozialhilfekosten fällt als Fernhaltegrund im Sinne von Art. 67 Abs. 2 Bst. b AuG in Betracht, wenn zusätzlich die Gefahr besteht, dass bei einer Wiedereinreise erneut Sozialhilfekosten entstehen. Voraussetzung für die Annahme einer solchen Gefahr ist eine gewisse Wahrscheinlichkeit dafür, dass die betroffene Person im Bedarfsfall nicht unverzüglich auf finanzielle Mittel zurückgreifen kann (vgl. dazu Urteile des BVGer F-5519/2015 vom 12. Juni 2017 E. 5.3.3 und C-6352/2009 vom 10. Mai 2011 E. 8.4 je m.H.; Marc Spescha in: Kommentar Migrationsrecht, 4. Aufl. 2015, Art. 67 N 3a, sowie Andrea Binder Oser in: Stämpflis Handkommentar, Bundesgesetz über die Ausländerinnen und Ausländer, 2010, Art. 67 N 10 m.H.). Die Frage, ob mit erheblicher Wahrscheinlichkeit damit zu rechnen wäre, dass der Beschwerdeführer im Falle einer Wiedereinreise erneut von der Sozialhilfe unterstützt werden müsste und daher auch der Fernhaltegrund von Art. 67 Abs. 2 Bst. b gegeben wäre, kann jedoch aufgrund der nachfolgenden Erwägungen offengelassen werden.</w:t>
      </w:r>
    </w:p>
    <w:p>
      <w:r>
        <w:rPr>
          <w:b/>
        </w:rPr>
        <w:t>E. 5.2.3</w:t>
      </w:r>
    </w:p>
    <w:p>
      <w:r>
        <w:t>Dem Beschwerdeführer wird vom SEM nämlich auch vorgeworfen, während Jahren seinen finanziellen Verpflichtungen nicht nachgekommen zu sein und sich in erheblichem Masse verschuldet zu haben. So hätten gegen ihn laut Betreibungsregisterauszug vom 2. Januar 2014 52 offene Verlustscheine in Höhe von rund Fr. 114'000.- bestanden. Der Rechtsvertreter bringt diesbezüglich allerdings vor, sein Mandant habe noch vor seiner Ausreise die Schuldensanierung erfolgreich abgeschlossen, weshalb seine damalige finanzielle Situation nicht mehr berücksichtigt werden dürfe. Demgegenüber stellte das Verwaltungsgericht Basel-Landschaft in seinem Urteil vom 19. August 2015 fest, die Betreibungsregisterauszüge zeigten in der Tat, dass offene Verlustscheine im niedrigen sechsstelligen Bereich gelöscht worden seien. Der Beschwerdeführer bestreite allerdings nicht, dass die Gläubiger bei der Begleichung der Schulden auf den grössten Teil ihrer Forderungen verzichtet hätten, und er nur jeweils 15-20% der Forderungssumme beglichen habe. Zudem seien die Gläubiger über die drohende Wegweisung informiert gewesen. Aus diesen Gründen liege keine namhafte nachträgliche Schuldenbegleichung vor. Stattdessen sei faktisch ohne grossen Geldeinsatz die Bereinigung des Betreibungsregisterauszuges bewirkt worden. Das Verhalten des Beschwerdeführers gegenüber seinen Gläubigern in dieser Angelegenheit verstosse gegen das Gebot von Treu und Glauben, zumal er rechtsmissbräuchlich vorgegangen sei. Es gehe nicht an, dass der Beschwerdeführer über Jahre hinweg trotz vieler Verwarnungen keine Anstrengungen zur Beendigung seiner Misswirtschaft und zu einer Schuldensanierung unternehme und eine Wegweisungsverfügung in Rechtskraft erwachsen lasse, um danach plötzlich aktiv zu werden. In casu rechtfertigt sich denn auch aus diesem Grund die Verhängung eines Einreiseverbots gestützt auf Art. 67 Abs. 2 Bst. a AuG, ist doch ein Verstoss gegen die öffentliche Sicherheit und Ordnung auch bei Vorliegen massiver privatrechtlicher Schulden anzunehmen (vgl. Spescha, a.a.O., Art. 67 N 3a m.H.; Urteil des BGer 2C_345/2011 vom 3. Oktober 2011 E. 2.2).</w:t>
      </w:r>
    </w:p>
    <w:p>
      <w:r>
        <w:rPr>
          <w:b/>
        </w:rPr>
        <w:t>E. 5.2.4</w:t>
      </w:r>
    </w:p>
    <w:p>
      <w:r>
        <w:t>Denselben Tatbestand (Art. 67 Abs. 2 Bst. a AuG) erfüllt im Übrigen auch der dem Beschwerdeführer vom Strafrichter vorgeworfene widerrechtliche Aufenthalt in der Schweiz, ohne dass dieser in casu massgeblich ins Gewicht fallen würde. Es erübrigt sich deshalb, an dieser Stelle näher darauf einzugehen.</w:t>
      </w:r>
    </w:p>
    <w:p>
      <w:r>
        <w:rPr>
          <w:b/>
        </w:rPr>
        <w:t>E. 6.1</w:t>
      </w:r>
    </w:p>
    <w:p>
      <w:r>
        <w:t>Nachdem die Vorinstanz gegen den Beschwerdeführer ein neunjähriges Einreiseverbot ausgesprochen hat, ist im Folgenden noch vor der später vorzunehmenden Interessenabwägung von Amtes wegen zu prüfen, ob das Kriterium der schwerwiegenden Gefahr gemäss Art. 67 Abs. 3 AuG erfüllt ist.</w:t>
      </w:r>
    </w:p>
    <w:p>
      <w:r>
        <w:rPr>
          <w:b/>
        </w:rPr>
        <w:t>E. 6.2</w:t>
      </w:r>
    </w:p>
    <w:p>
      <w:r>
        <w:t>Gemäss Art. 67 Abs. 3 AuG wird die Fernhaltemassnahme in der Regel für maximal fünf Jahre angeordnet. Nur wenn die betroffene Person eine schwerwiegende Gefahr für die öffentliche Sicherheit und Ordnung darstellt, kann eine längere Dauer verfügt werden. Eine schwerwiegende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Summe das Potenzial haben, um eine aktuelle und schwerwiegende Gefahr zu begründen (vgl. BGE 139 II 121 E. 6.3; BVGE 2013/4 E. 7.2.4).</w:t>
      </w:r>
    </w:p>
    <w:p>
      <w:r>
        <w:rPr>
          <w:b/>
        </w:rPr>
        <w:t>E. 6.3</w:t>
      </w:r>
    </w:p>
    <w:p>
      <w:r>
        <w:t>Aus den Akten geht hervor, dass der Beschwerdeführer über eine sehr lange Zeit hinweg in uneinsichtiger Weise immer wieder straffällig geworden ist. Trotz zahlreicher früherer Verurteilungen und Bestrafungen - namentlich wegen schwerwiegender Verstösse gegen das Strassenverkehrsgesetz - liess er sich nicht von weiterer Delinquenz abhalten. So wurde er - wie unter E. 5.2.1 erwähnt - allein wegen FIAZ fünfmal sowie mehrmals wegen Führens eines Motorfahrzeugs trotz Ausweisentzugs verurteilt, und dies während einer Zeitspanne von zwölf Jahren. Bei einigen dieser "Trunkenheitsfahrten" betrug die Blutalkoholkonzentration beim Delinquenten mehr als zwei Promille, womit er fraglos eine sehr grosse Gefahr für andere Verkehrsteilnehmer darstellte. Die Vielzahl dieser SVG-Delikte zeugt von einer inakzeptablen Geringschätzung und Gleichgültigkeit gegenüber der schweizerischen Rechtsordnung. Im Übrigen sind diese Delikte aufgrund des grossen Gefährdungspotenzials, welches dem Führen eines Motorfahrzeugs eigen ist, nicht zu verharmlosen und angesichts der Unbelehrbarkeit des Beschwerdeführers muss diesbezüglich auch von einer zukünftigen Bedrohung der öffentlichen Sicherheit und Ordnung ausgegangen werden, zumal sich dieser auch durch die vielen ausländerrechtlichen Verwarnungen nicht beeindrucken liess. Ausserdem besteht weiterhin ein erhebliches Risiko, dass der Betroffene nicht nur in strafrechtlicher Hinsicht, sondern auch in Bezug auf seine finanziellen Verpflichtungen in frühere Verhaltensmuster verfällt, mithin ein strukturelles Rückfallrisiko (vgl. dazu Urteil des BVGer C-4898/2012 vom 1. Mai 2014 E. 5.6). In casu ist daher davon auszugehen, dass der Beschwerdeführer auch zum heutigen Zeitpunkt eine schwerwiegende Gefahr für die öffentliche Sicherheit und Ordnung darstellt. Dies rechtfertigt grundsätzlich eine Überschreitung der fünfjährigen Regelhöchstdauer des Einreiseverbots gemäss Art. 67 Abs. 3 AuG (s. vorne, E. 6.2).</w:t>
      </w:r>
    </w:p>
    <w:p>
      <w:r>
        <w:rPr>
          <w:b/>
        </w:rPr>
        <w:t>E. 7.1</w:t>
      </w:r>
    </w:p>
    <w:p>
      <w:r>
        <w:t>Es bleibt zu prüfen, ob das auf neun Jahre befristete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m.H.).</w:t>
      </w:r>
    </w:p>
    <w:p>
      <w:r>
        <w:rPr>
          <w:b/>
        </w:rPr>
        <w:t>E. 7.2</w:t>
      </w:r>
    </w:p>
    <w:p>
      <w:r>
        <w:t>Das Einreiseverbot soll in seiner spezialpräventiven Wirkung weitere Straftaten des Beschwerdeführers verhindern und ihn dazu anhalten, bei einer künftigen Wiedereinreise keine weiteren Verstösse gegen die öffentliche Ordnung und Sicherheit zu begehen. In generalpräventiver Hinsicht soll die öffentliche Sicherheit und Ordnung durch eine konsequente Massnahmenpraxis geschützt werden (vgl. BVGE 2014/20 E. 8.2 m.H.). Angesichts dessen sowie der vom Beschwerdeführer ausgehenden schwerwiegenden Gefahr für die öffentliche Sicherheit und Ordnung (vgl. oben, E. 6.3) ist nach wie vor von einem erheblichen Fernhalteinteresse auszugehen.</w:t>
      </w:r>
    </w:p>
    <w:p>
      <w:r>
        <w:rPr>
          <w:b/>
        </w:rPr>
        <w:t>E. 7.3</w:t>
      </w:r>
    </w:p>
    <w:p>
      <w:r>
        <w:t>Die vom Beschwerdeführer geltend gemachten Nachteile sind in erster Linie darauf zurückzuführen, dass er in der Schweiz kein Aufenthaltsrecht mehr hat, nachdem seine Aufenthaltsbewilligung letztinstanzlich nicht verlängert und er aus der Schweiz weggewiesen wurde (Urteil des BGer 2C_1047/2015 vom 25. November 2015). Die dadurch bewirkte Einschränkung des Privat- und Familienlebens ist für die Beurteilung im vorliegenden Fall nicht ausschlaggebend, da die Pflege regelmässiger persönlicher Kontakte des Beschwerdeführers zu seinen in der Schweiz lebenden volljährigen Kindern sowie seiner früheren Ehefrau grundsätzlich bereits an einem fehlenden Anwesenheitsrecht scheitert (vgl. BVGE 2013/4 E. 7.4.1).</w:t>
      </w:r>
    </w:p>
    <w:p>
      <w:r>
        <w:rPr>
          <w:b/>
        </w:rPr>
        <w:t>E. 7.4</w:t>
      </w:r>
    </w:p>
    <w:p>
      <w:r>
        <w:t>Im Folgenden stellt sich daher einzig die Frage, ob die über die Verweigerung des Aufenthaltsrechts hinausgehende, durch das Einreiseverbot zusätzlich bewirkte Erschwernis vor Art. 8 Ziff. 1 EMRK und Art. 13 Abs. 1 BV standhält, falls er sich angesichts seiner bereits volljährigen Kinder überhaupt auf diese Bestimmungen berufen kann. Art. 8 EMRK (Recht auf Familienleben) schützt nämlich in erster Linie die Kernfamilie, d.h. die Gemeinschaft der Ehegatten mit ihren minderjährigen Kindern. Geht es um Personen, die nicht der eigentlichen Kernfamilie zuzurechnen sind, setzt eine schützenswerte familiäre Beziehung voraus, dass die Betroffenen in einem besonderen Abhängigkeitsverhältnis zueinander stehen, was im vorliegenden Fall jedoch nicht zutrifft. Abgesehen davon bestünde die erwähnte Erschwernis einzig in der Notwendigkeit, für Besuche bei seinen Angehörigen in der Schweiz jeweils vorab ein Gesuch um Suspension des Einreiseverbots zu stellen, welche für eine kurze, klar begrenzte Zeit gewährt werden kann (vgl. Art. 67 Abs. 5 AuG). Allein der Umstand, dass ein Einreiseverbot dazu führt, dass der Betroffene seine Angehörigen in der Schweiz nicht besuchen kann, stellt in der Regel keine Unverhältnismässigkeit dar, wäre sonst das Instrument des Einreiseverbots gegenüber allen Personen mit Familienangehörigen in der Schweiz unzulässig (vgl. Urteil des BGer 2C_270/2015 vom 6. August 2015 E. 8.2). Es ist den Betroffenen grundsätzlich zuzumuten, die Kontakte untereinander weiterhin mittels Telefon oder moderner Kommunikationsmittel (SMS, WhatsApp, Skype, Facebook usw.) zu pflegen oder sich im Heimatland des Beschwerdeführers zu treffen. Das verfassungs- und konventionsrechtlich garantierte Recht auf Achtung des Familienlebens vermittelt ohnehin keinen Anspruch auf freie Wahl des für das Familienleben am geeignetsten erscheinenden Ortes (BGE 137 I 247 E. 4.1.1 m.H.).</w:t>
      </w:r>
    </w:p>
    <w:p>
      <w:r>
        <w:rPr>
          <w:b/>
        </w:rPr>
        <w:t>E. 7.5</w:t>
      </w:r>
    </w:p>
    <w:p>
      <w:r>
        <w:t>Eine wertende Gewichtung der sich entgegenstehenden Interessen führt damit zum Schluss, dass das auf neun Jahre befristete Einreiseverbot auch unter Berücksichtigung der gängigen Praxis in vergleichbaren Fällen eine verhältnismässige und angemessene Massnahme zum Schutz der öffentlichen Sicherheit und Ordnung darstellt. Für eine Befristung des Einreiseverbots auf zwei Jahre, wie eventualiter beantragt, bleibt vorliegend kein Raum.</w:t>
      </w:r>
    </w:p>
    <w:p>
      <w:r>
        <w:rPr>
          <w:b/>
        </w:rPr>
        <w:t>E. 8</w:t>
      </w:r>
    </w:p>
    <w:p>
      <w:r>
        <w:t>Die Vorinstanz hat in der angefochtenen Verfügung ferner die Ausschreibung des Einreiseverbots im SIS II angeordnet. Der Beschwerdeführer ist türkischer Staatsangehöriger und damit Drittstaatsangehöriger im Sinne von Art. 3 Bst. d SIS-II-VO. Aufgrund der Ausschreibung im SIS II ist es ihm untersagt, den Schengen-Raum zu betreten. Der darin liegende Eingriff wird durch die Bedeutung des Falles gerechtfertigt (vgl. Art. 21 i.V.m. Art. 24 Abs. 2 SIS-II-VO). Dies gilt umso mehr, als die Schweiz im Geltungsbereich des Schengen-Rechts die Interessen der Gesamtheit aller Schengen-Staaten zu wahren hat (vgl. BVGE 2011/48 E. 6.1). Wie erwähnt, bleibt es den Schengen-Staaten unbenommen, der ausgeschriebenen Person bei Vorliegen besonderer Gründe die Einreise ins eigene Hoheitsgebiet zu gestatten (vgl. auch Art. 67 Abs. 5 AuG). Die Voraussetzungen für die Ausschreibung des Einreiseverbots sind demnach erfüllt.</w:t>
      </w:r>
    </w:p>
    <w:p>
      <w:r>
        <w:rPr>
          <w:b/>
        </w:rPr>
        <w:t>E. 9</w:t>
      </w:r>
    </w:p>
    <w:p>
      <w:r>
        <w:t>Zusammenfassend erweist sich die angefochtene Verfügung im Lichte von Art. 49 VwVG als rechtmässig. Die Beschwerde ist demzufolge abzuweisen.</w:t>
      </w:r>
    </w:p>
    <w:p>
      <w:r>
        <w:rPr>
          <w:b/>
        </w:rPr>
        <w:t>E. 10</w:t>
      </w:r>
    </w:p>
    <w:p>
      <w:r>
        <w:t>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Rechtspflege samt Verbeiständung. Gemäss Art. 65 Abs. 1 VwVG kann eine Partei, die nicht über die erforderlichen Mittel verfügt und deren Begehren nicht als aussichtslos erscheinen, auf Gesuch hin von der Bezahlung von Verfahrenskosten befreit werden. Eine Person gilt als bedürftig, wenn sie nicht in der Lage ist, für die Prozesskosten aufzukommen, ohne dass sie Mittel beanspruchen müsste, die zur Deckung des Grundbedarfs für sie und ihre Familie notwendig sind (BGE 128 I 225 E. 2.5.1 S. 232 m.H.). Der Nachweis der Bedürftigkeit obliegt der Partei (Urteil des BGer 2A.502/2006 vom 4. Januar 2007 E. 4.1). Mit Instruktionsverfügung vom 7. Dezember 2016 wurde der Beschwerdeführer daher aufgefordert, bis zum 9. Januar 2017 seine geltend gemachte Bedürftigkeit mit entsprechenden Beweismitteln zu belegen. Mit Schreiben vom 25. Januar 2017 reichte dieser - allerdings ohne die erforderlichen Beweismittel - das von ihm nur sehr lückenhaft und unkorrekt ausgefüllte Formular "Gesuch um unentgeltliche Rechtspflege" ein. Darin wies er insbesondere darauf hin, er verfüge derzeit über keinerlei Einkünfte, obwohl sein Parteivertreter in der Beschwerdeschrift festgehalten hatte, sein Mandant beziehe in der Türkei eine AHV-Rente. Der Rechtsvertreter stellte eine entsprechende behördliche Bestätigung betreffend die Bedürftigkeit seines Mandanten in Aussicht, welche er hingegen - trotz entsprechender Aufforderung durch das Bundesverwaltungsgericht (vgl. Instruktionsverfügung vom 31. Januar 2017) - nicht nachreichte, womit die Bedürftigkeit des Beschwerdeführers nicht hinreichend belegt ist. Dem (Eventual-)Antrag um Gewährung der unentgeltlichen Prozessführung im Sinne von Art. 65 Abs. 1 und 2 VwVG ist somit nicht stattzugeben. Dementsprechend sind die Verfahrenskosten, welche auf Fr. 1'200.- festzusetzen sind, dem Beschwerdeführer aufzuerlegen (Art. 63 Abs. 1 VwVG i.V.m. Art. 1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