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F-7048/2018 vom 20. Oktober 2020</w:t>
      </w:r>
    </w:p>
    <w:p>
      <w:r>
        <w:t>Bundesverwaltungsgericht, 2020-10-20, FR</w:t>
      </w:r>
    </w:p>
    <w:p>
      <w:r>
        <w:rPr>
          <w:b/>
        </w:rPr>
        <w:t xml:space="preserve">Quelle: </w:t>
      </w:r>
      <w:r>
        <w:t>https://mcp.opencaselaw.ch/entscheid/bvger_F-7048_2018</w:t>
      </w:r>
    </w:p>
    <w:p>
      <w:r>
        <w:t>FR: TAF F-7048/2018 du 20 octobre 2020</w:t>
      </w:r>
    </w:p>
    <w:p>
      <w:r>
        <w:t>IT: TAF F-7048/2018 del 20 ottobre 2020</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sur réexamen rendues par le SEM en matière d'approbation à la délivrance ou à la prolongation d'autorisations de séjour et de renvoi rendues par le SEM peuvent être contestées devant le Tribunal de céans, qui statue de manière définitive à moins que la décision querellée concerne une autorisation de séjour à laquelle le droit fédéral ou international confère un droit (cf. art. 1 al. 2 LTAF, en relation avec l'art. 83 let. c ch. 2 a contrario et 4 LTF [RS 173.110]).</w:t>
      </w:r>
    </w:p>
    <w:p>
      <w:r>
        <w:rPr>
          <w:b/>
        </w:rPr>
        <w:t>E. 1.2</w:t>
      </w:r>
    </w:p>
    <w:p>
      <w:r>
        <w:t>A moins que la LTAF n'en dispose autrement, la procédure devant le Tribunal de céans est régie par la PA (cf. art. 37 LTAF).</w:t>
      </w:r>
    </w:p>
    <w:p>
      <w:r>
        <w:rPr>
          <w:b/>
        </w:rPr>
        <w:t>E. 1.3</w:t>
      </w:r>
    </w:p>
    <w:p>
      <w:r>
        <w:t>Le recours a été présenté dans la forme et les délais prescrits par la loi (cf. art. 50 et 52 PA). A._______ (ci-après: le recourant) a qualité pour recourir. Il en va de même de son fils mineur N._______, qui agit par sa mère (et représentante légale), laquelle a participé à la procédure de première instance (cf. let. C.a supra) et dont une procuration récente a été annexée au recours (cf. let. E et F supra). Partant, le recours est recevable en ce qui concerne les intéressés (cf. art. 48 al. 1 PA). En revanche, dans la mesure où le recourant n'a pas fourni une procuration de la mère (et représentante légale) de sa fille mineure L._______ dans le délai qui lui avait été imparti à cet effet (cf. let. E et F supra), le recours est irrecevable en tant qu'il concerne sa fille L._______.</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par les parties (cf. art. 62 al. 4 PA), ni par les considérants juridiques de la décision querellée (cf. ATAF 2014/1 consid. 2).</w:t>
      </w:r>
    </w:p>
    <w:p>
      <w:r>
        <w:rPr>
          <w:b/>
        </w:rPr>
        <w:t>E. 2.2</w:t>
      </w:r>
    </w:p>
    <w:p>
      <w:r>
        <w:t>Le 1er janvier 2019, soit au cours de la présente procédure de recours, sont entrées en vigueur les dernières dispositions de la modification partielle du 16 décembre 2016 de la loi sur les étrangers du 16 décembre 2005 (LEtr, RO 2007 5437), laquelle s'intitule nouvellement loi fédérale sur les étrangers et l'intégration du 16 décembre 2005 (LEI, RS 142.20, RO 2018 3171), ainsi que la modification partielle du 15 août 2018 de l'ordonnance relative à l'admission, au séjour et à l'exercice d'une activité lucrative du 24 octobre 2007 (OASA, RS 142.201, RO 2018 3173). Compte tenu du fait que la décision querellée rendue le 13 novembre 2018 porte sur le réexamen d'une décision de refus d'approbation et de renvoi rendue sous l'égide de l'ancien droit (national), qu'elle a - elle aussi - été rendue sous l'égide de l'ancien droit et que le nouveau droit (national) n'a pas apporté de changements susceptibles d'influer sur l'issue de la procédure, la présente cause, en l'absence de dispositions transitoires contenues dans la LEI dans l'OASA ou d'intérêt public majeur commandant l'application du nouveau droit, demeure soumise à l'ancien droit (national), à savoir à la LEtr et à l'ancienne OASA dans sa teneur en vigueur jusqu'au 31 décembre 2018 (aOASA, RO 2007 5497).</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notamment du fait que toutes les voies de droit ordinaires ont été épuisées, que le délai de recours est venu à échéance sans avoir été utilisé ou que le recours a été retiré ou déclaré irrecevable.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(sur ces questions, cf. arrêts du TAF F-1653/2019 du 12 décembre 2019 consid. 4.1.1 et F-7949/ 2016 du 14 novembre 2017 consid. 3.1, et les références citées).</w:t>
      </w:r>
    </w:p>
    <w:p>
      <w:r>
        <w:rPr>
          <w:b/>
        </w:rPr>
        <w:t>E. 3.2</w:t>
      </w:r>
    </w:p>
    <w:p>
      <w:r>
        <w:t>Dans ce contexte, il sied de constater que la décision de refus d'approbation et de renvoi rendue le 20 juillet 2017 par le SEM est bel et bien entrée en force et a ainsi mis fin à la procédure ordinaire. En effet, cette décision a été envoyée le jour suivant sous pli recommandé à la dernière adresse connue du recourant (cf. act. SEM 28), à savoir à celle que l'intéressé avait lui-même indiquée dans le dernier écrit (soit la demande de prolongation de délai mentionnée sous let. B.e supra) qu'il avait adressé au SEM (cf. act. SEM 26 p. 324) ; cette adresse correspondait au demeurant à celle qui ressortait des dernières pièces du dossier cantonal que le SPOP avait transmises au SEM le 28 avril 2017 (cf. act. SEM 27), pièces dont il apparaissait que l'intéressé avait officiellement changé d'adresse le 1er avril 2017 et touchait depuis lors le revenu d'insertion (RI) à sa nouvelle adresse, où il vivait à la faveur d'un contrat de bail (respectivement de sous-location) de durée indéterminée conclu le 3 mars 2017 et ayant pris effet le 6 mars suivant. Or, dite décision a été retournée au SEM par les services postaux avec la mention "non réclamé" en date du 3 août 2017 (date de réception), soit après l'échéance - le lundi 31 juillet 2017 - du délai de garde de sept jours (commençant à courir le jour suivant la tentative infructueuse de la distribution postale), ainsi qu'il appert de l'enveloppe ayant servi à l'expédition de cet envoi (cf. act. SEM 30). Dès lors que cette décision (en l'absence d'éléments laissant à penser que la tentative infructueuse de distribution serait imputable à des irrégularités des services postaux) doit être tenue comme valablement notifiée au recourant à l'échéance du délai de garde (cf. art. 20 al. 2bis PA) et qu'elle est demeurée incontestée, elle est entrée en force, ce que l'intéressé ne remet pas en cause. Dans la mesure où la décision de refus d'approbation et de renvoi rendue le 20 juillet 2017 par le SEM (en tant qu'autorité de première instance) a mis fin à la procédure ordinaire, l'appréciation contenue dans cette décision ne peut être remise en question que dans le cadre d'une procédure de réexamen (cf. consid. 3.1 supra).</w:t>
      </w:r>
    </w:p>
    <w:p>
      <w:r>
        <w:rPr>
          <w:b/>
        </w:rPr>
        <w:t>E. 3.3</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ainsi que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notamment une irrégularité de la procédure ayant abouti à la première décision ou des faits, respectivement des moyens de preuve nouveaux et suffisamment importants pour conduire à une nouvelle appréciation de la situation (qu'il ne connaissait pas lors de la première décision ou dont il ne pouvait se prévaloir ou n'avait pas de raison de se prévaloir à l'époque), ou lorsque les circonstances se sont modifiées dans une mesure notable depuis que la première décision a été rendue (sur les notions de réexamen et de révision, cf. ATF 143 III 272 consid. 2.2 et 2.3, 138 I 61 consid. 4.3, 136 II 177 consid. 2.1 et 2.2.1, 127 I 133 consid. 6, 109 Ib 246 consid. 4a; arrêts du TAF précités F-1653/2019 consid. 4.1.2 et F-7949/ 2016 consid. 3.2).</w:t>
      </w:r>
    </w:p>
    <w:p>
      <w:r>
        <w:rPr>
          <w:b/>
        </w:rPr>
        <w:t>E. 3.4</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favorable à la personne concernée (cf. ATF 144 V 245 consid. 5.2, 143 III 272 consid. 2.2 et 134 IV 48 consid. 1.2). C'est à la partie requérante qu'incombe le devoir de substantification (cf. arrêts du TAF F-700/2018 du 15 janvier 2020 consid. 4.4, F-1065/2018 du 17 janvier 2020 consid. 3.2, et la jurisprudence citée). Ainsi, elle ne peut se borner à alléguer un fait nouveau ou un changement de circonstances, mais il lui appartient de le rendre à tout le moins vraisemblable et de produire des moyens de preuves aptes à le démontrer (cf. notamment les arrêts du TF 2C_393/2019 du 18 septembre 2019 consid. 3.2 in fine et 2C_883/2018 du 21 mars 2019 consid. 4.3 in fine).</w:t>
      </w:r>
    </w:p>
    <w:p>
      <w:r>
        <w:rPr>
          <w:b/>
        </w:rPr>
        <w:t>E. 3.5</w:t>
      </w:r>
    </w:p>
    <w:p>
      <w:r>
        <w:t>Le réexamen et la révision de décisions administratives entrées en force ne doivent pas être admis trop facilement. La procédure extraordinaire ne saurait en particulier servir à remettre sans cesse en cause des décisions exécutoires, ni viser à éluder les dispositions légales sur les délais de recours (prévus en procédure ordinaire) ou celles sur la restitution desdits délais (cf. ATF 136 II 177 consid. 2.1, 130 IV 72 consid. 2.2 et 109 Ib 246 consid. 4a) ; elle ne permet donc pas de faire valoir des faits ou des moyens de preuve qui auraient pu et dû être invoqués dans le cadre de la procédure ordinaire en faisant preuve de la diligence requise (cf. ATF 144 V 245 consid. 5.2, 144 V 258 consid. 2.1, 143 III 272 consid. 2.2 et 2.3 et 134 IV 48 consid. 1.2), autrement dit de remédier aux omissions de la partie requérante dans la conduite de la procédure antérieure (cf. ATF 130 IV 72 consid. 2.2; arrêts du TF 6B_574/2019 du 9 septembre 2019 consid. 1.1, 2F_3/2019 du 23 juillet 2019 consid. 2.1 et 5F_19/2018 du 29 octobre 2018 consid. 2.1).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137 IV 59 consid. 5.1.1 et 98 Ia 568 consid. 5b).</w:t>
      </w:r>
    </w:p>
    <w:p>
      <w:r>
        <w:rPr>
          <w:b/>
        </w:rPr>
        <w:t>E. 4.1</w:t>
      </w:r>
    </w:p>
    <w:p>
      <w:r>
        <w:t>A titre d'éléments nouveaux, le recourant, qui aurait connu des épisodes dépressifs au cours de la procédure ordinaire et ne serait parvenu à se ressaisir qu'au cours de l'année 2017 selon ses dires (cf. let. D supra), a invoqué, en premier lieu, que sa situation professionnelle et, partant, sa situation financière s'étaient améliorées postérieurement à la décision de refus d'approbation et de renvoi du 20 juillet 2017 (entrée en force) ayant mis fin à la procédure ordinaire.</w:t>
      </w:r>
    </w:p>
    <w:p>
      <w:r>
        <w:rPr>
          <w:b/>
        </w:rPr>
        <w:t>E. 4.1.1</w:t>
      </w:r>
    </w:p>
    <w:p>
      <w:r>
        <w:t>A ce propos, il sied de relever d'emblée que les certificats médicaux ayant été annexés au recours (cf. let. D in fine supra) ne sont pas aptes à démontrer les difficultés psychologiques alléguées, puisqu'ils ne font qu'attester une incapacité de travailler "pour raisons médicales". De plus, ces documents médicaux sont antérieurs à la décision de refus d'approbation et de renvoi du 20 juillet 2017 ayant mis fin à la procédure ordinaire et auraient parfaitement pu être produits au cours de la procédure ordinaire, notamment dans le cadre du droit d'être entendu qui avait été conféré à l'intéressé par l'autorité inférieure avant de statuer (cf. let. B.d supra). Ils ne constituent donc pas des éléments nouveaux susceptibles d'ouvrir la voie du réexamen (cf. consid. 3.5 supra, et la jurisprudence citée).</w:t>
      </w:r>
    </w:p>
    <w:p>
      <w:r>
        <w:rPr>
          <w:b/>
        </w:rPr>
        <w:t>E. 4.1.2</w:t>
      </w:r>
    </w:p>
    <w:p>
      <w:r>
        <w:t>S'agissant de la situation professionnelle et financière du recourant, elle semble effectivement s'être légèrement améliorée pendant quelques mois, après la fin de la procédure ordinaire. Ainsi qu'il appert des pièces ayant été versées en cause dans le cadre de la présente procédure extraordinaire, l'intéressé a été engagé en qualité de peintre en bâtiment dans une société vaudoise à partir du 1er novembre 2017 et a réalisé, à ce titre, un salaire mensuel net moyen de l'ordre de 3'200 francs durant les mois de novembre 2017 à mars 2018 (cf. le contrat de travail et les décomptes de salaire y relatifs ; act. SEM 31 p. 363 à 369, et 40 p. 420 à 424). Il appert en outre d'un décompte du Service social régional compétent du 27 juillet 2018 (cf. act. SEM 40 p. 408) que l'intéressé n'a plus eu recours à l'aide sociale entre le 1er octobre 2017 et la fin du mois de juillet 2018. Les renseignements et documents ayant été fournis par le recourant au mois d'août 2018 à la demande de l'autorité inférieure (cf. let. C.c supra) révèlent toutefois que celui-ci a perdu son emploi suite à la mise en faillite de la société qui l'employait, faillite prononcée par jugement du Président du tribunal civil compétent du 24 avril 2018 (cf. act. SEM 40 p. 425). L'intéressé a dès lors été amené à créer sa propre entreprise en juillet 2018 (cf. act. SEM 43 p. 447). Dans sa détermination du 3 août 2018, il a fait valoir que les revenus générés par sa nouvelle activité indépendante seraient bientôt "largement au-dessus du minimum vital, même après versement des pensions" alimentaires dues à ses enfants. Or, bien que l'autorité inférieure l'ait invité - par courrier du 7 août 2018 - à fournir des pièces probantes attestant des revenus qu'il avait réalisés dans l'exercice de son activité indépendante, il s'est contenté de verser en cause une facture du mois de juin 2018, ainsi que quatre devis qu'il avait établis en juin 2018 en faveur de clients potentiels, et d'alléguer que ces derniers lui avaient d'ores et déjà versé des acomptes, sans apporter la preuve des rentrées financières dont il aurait effectivement bénéficié (cf. act. SEM 43 et 44) et, a fortiori, sans démontrer que les rentrées financières alléguées correspondaient réellement au bénéfice net généré par sa société (après déduction de l'ensemble des charges d'exploitation). C'est donc à juste titre que l'autorité inférieure a retenu, dans la décision querellée, que les revenus réalisés par l'intéressé dans l'exercice de son activité indépendante n'avaient pas été démontrés. On relèvera en outre qu'au stade du recours, l'intéressé ne s'est pas prononcé sur cette question pourtant cruciale (cf. recours p. 2 ch. 4), se contentant de produire une nouvelle fois la facture et les devis qu'il avait déjà versés en cause par-devant l'autorité inférieure (cf. act. TAF 1 PJ 6). Enfin, invité par ordonnance du Tribunal de céans du 16 juillet 2020 à fournir des pièces probantes attestant des revenus qu'il avait réalisés dans l'exercice de son activité indépendante entre le 1er janvier 2018 et le 31 juillet 2020 (à savoir ses décisions de taxation fiscale pour les années 2018 et 2019, ainsi qu'un extrait de son compte bancaire ou postal pour les sept premiers mois de l'année 2020), il s'est contenté de verser en cause, en trois exemplaires, une pièce datée du 15 mai 2020 et intitulée "bilan final" (censée afficher le bénéfice net prétendument réalisé par sa société du 1er janvier au 31 décembre 2019), à savoir une simple pièce comptable sans valeur probante particulière ne faisant que refléter les chiffres avancés par la personne qui l'a établie (cf. act. TAF 1 PJ 1). Force est dès lors de constater que le recourant n'a pas démontré, ni dans le cadre de la procédure de première instance, ni dans le cadre de la présente procédure de recours, que sa situation professionnelle et, partant, sa situation financière se seraient améliorées de manière significative depuis la fin de la procédure ordinaire, au point qu'il serait aujourd'hui en mesure de subvenir à ses besoins et de s'acquitter des pensions alimentaires dues à ses enfants sans créer de nouvelles dettes.</w:t>
      </w:r>
    </w:p>
    <w:p>
      <w:r>
        <w:rPr>
          <w:b/>
        </w:rPr>
        <w:t>E. 4.2</w:t>
      </w:r>
    </w:p>
    <w:p>
      <w:r>
        <w:t>En outre, le recourant n'a pas non plus démontré qu'il aurait consenti des efforts particuliers en vue d'éponger ses dettes, après la fin à la procédure ordinaire. A ce propos, il sied de relever que lorsque l'autorité inférieure avait constaté, dans sa décision de refus d'approbation et de renvoi du 20 juillet 2017, que la situation financière de l'intéressé était obérée, elle s'était fondée implicitement sur un décompte de l'Office des poursuites du district de La Riviera-Pays-d'EnHaut du 29 septembre 2016 figurant dans le dossier cantonal, décompte qui faisait état de poursuites et d'actes de défaut de biens pour un montant total de 123'194 francs, dont deux actes de défaut de biens relatifs à des pensions alimentaires demeurées impayées pour des sommes de 7'200 francs (p. 13) et de 14'600.- (p. 14), sommes auxquelles s'ajoutaient les intérêts moratoires et les frais de poursuite. Dans le cadre de la procédure de première instance, spécialement à l'appui de sa détermination du 3 août 2018 (cf. act. SEM 40), le recourant a versé en cause une lettre de l'Administration fédérale des finances (ci-après: l'AFF) du 1er juin 2018 dont il appert que sa dette envers cette autorité en restitution des prestations de l'assurance-chômage qu'il avait indûment perçues (cf. A.h.b supra), dette qui faisait l'objet d'un acte de défaut de biens délivré le 6 juin 2012 par l'Office des poursuites du district de La Riviera-Pays-d'EnHaut, s'élevait désormais à 5'070 francs (cf. act. SEM 40 p. 419). Il a également produit la copie d'un accord de remboursement que lui avait proposé l'AFF en date du 25 août 2017 en relation avec cette dette (pièce dont il appert que dite dette s'élevait alors à 5'250 francs), accompagné d'un tableau de remboursement lui suggérant un remboursement à raison de 100 francs par mois en moyenne jusqu'à la fin de l'année 2021 (cf. act. SEM p. 416 à 418). Or, force est de constater, sur le vu de ces pièces, que la dette du recourant envers l'AFF n'a été remboursée qu'à raison de la modique somme de 180 francs (au total) entre le 25 août 2017 et le 1er juin 2018. De plus, les pièces versées en cause ne démontrent nullement que l'intéressé rembourserait désormais cette dette à raison de 100 francs par mois (comme prévu dans l'accord de remboursement susmentionné), ni qu'il s'emploierait à rembourser régulièrement les autres dettes mentionnées dans l'extrait du registre des poursuites de l'Office des poursuites du district de La Riviera-Pays-d'EnHaut du 29 septembre 2016. A cela s'ajoute que le recourant a annexé à sa détermination du 3 août 2018 une "liste des affaires en cours" établie le 25 juillet 2018 par l'Office des poursuites du district de Lavaux-Oron (cf. act. SEM 40 p. 409 à 415), liste dont il ressort que l'intéressé fait l'objet de nouvelles poursuites (pour un montant de 30'520.45 francs) et de nouveaux actes de défaut de biens (pour un montant de 4944 francs) pour des dettes qu'il a contractées postérieurement à son déménagement en date du 1er avril 2017 dans une localité relevant de cet office des poursuites (cf. consid. 3.2 supra), montants dont il y a lieu de déduire la somme de 339.35 francs correspondant à une dette envers le Service des automobiles et de la navigation du canton de Vaud que l'intéressé avait remboursée le 3 août 2018 par l'entremise de l'office des poursuites susmentionné (cf. le reçu y relatif annexé à sa détermination du 9 août 2018 ; act. SEM 43 p. 438). A l'appui du recours, l'intéressé s'est contenté de produire une nouvelle fois les pièces susmentionnées (cf. act. TAF 1 PJ 6). En outre, bien qu'il ait été invité par ordonnance du Tribunal de céans du 16 juillet 2020 à fournir de nouveaux décomptes des Offices de poursuites compétents à ses lieux de résidence successifs attestant de l'état actuel de ses dettes (poursuites et actes de défaut de biens) et de toutes les dettes qu'il avait remboursées depuis la fin de la procédure ordinaire, il n'y a pas donné suite, et n'a fourni aucune explication à ce sujet dans sa détermination du 19 août 2020 (cf. act. TAF 12). Force est dès lors de conclure, sur le vu des pièces ayant été produites par-devant l'autorité inférieure, que le recourant n'a pas apporté la preuve qu'il se serait employé à rembourser ses dettes depuis le prononcé de la décision de refus d'approbation et de renvoi du 20 juillet 2017 ayant mis fin à la procédure ordinaire, contrairement à ce que l'autorité inférieure a retenu dans la décision querellée (cf. act. SEM 48 p. 456 avant-dernier §). S'il a certes remboursé une somme de l'ordre de 520 francs (au total) dans l'intervalle, il a en effet créé de nouvelles dettes portant sur des montants importants, largement supérieurs à ceux des remboursements qu'il a effectués. Le fait que l'intéressé n'ait pas transmis au Tribunal de céans des décomptes actualisés des Offices de poursuites compétents à ses lieux de résidence successifs laisse en outre à penser que sa situation financière s'est encore péjorée depuis le prononcé de la décision querellée.</w:t>
      </w:r>
    </w:p>
    <w:p>
      <w:r>
        <w:rPr>
          <w:b/>
        </w:rPr>
        <w:t>E. 4.3</w:t>
      </w:r>
    </w:p>
    <w:p>
      <w:r>
        <w:t>Tout en admettant que sa nouvelle activité indépendante était récente et que la pérennité de son entreprise ne pouvait dans ces conditions pas être tenue pour assurée, le recourant a également fait valoir, à titre d'élément nouveau, que cette activité lui permettait à tout le moins de verser des contributions d'entretien à ses enfants. Or, force est de constater que le recourant n'a produit, à l'appui de sa demande de réexamen du 11 décembre 2017 et de son recours du 13 décembre 2018, aucun justificatif attestant du versement de pensions alimentaires en faveur de ses enfants, alors qu'il lui appartenait de démontrer spontanément le bien-fondé de ses allégations (cf. consid. 3.4 supra, et la jurisprudence citée). Tant l'autorité inférieure que le Tribunal de céans ont donc été amenés à requérir de l'intéressé la production de pièces probantes en attestant (cf. let. C.b et let. J supra). Dans le cadre de la procédure de première instance, le recourant a fourni trois ordres de paiement démontrant qu'il s'était acquitté des contributions d'entretien dues à ses enfants L._______, M._______ et N._______ pour le mois d'août 2018 (cf. act. SEM 42). Dans le cadre de la présente procédure de recours, il a en outre produit un justificatif démontrant qu'il avait versé une somme de 100 francs en faveur de son fils O._______ au mois de janvier 2020 (cf. act. TAF 12 PJ 3) ; il sied toutefois de constater que le jugement du Tribunal civil du district de Dietikon du 18 juillet 2019 avait fixé le montant de la contribution d'entretien due pour O._______ à 490 francs par mois, et ce rétroactivement à partir du 1er juin 2019, date de la séparation de ses parents (cf. act. TAF 9). L'intéressé a par ailleurs versé en cause une facture de 300 francs que le Bureau de recouvrement et d'avances de pensions alimentaires (BRAPA) lui avait adressée au mois de janvier 2019, somme correspondant à la pension alimentaire due en faveur de son fils N._______ pour le mois de février 2019 ; il n'a toutefois fourni aucune pièce démontrant qu'il se serait effectivement acquitté de la somme due. Quant aux autres justificatifs versés en cause par-devant le Tribunal de céans, il s'agit de deux des trois ordres de paiement que le recourant avait déjà produits dans le cadre de la procédure de première instance et qui attestaient du versement des pensions alimentaires (de 300 francs) dues à ses enfants N._______ et M._______ pour le mois d'août 2018. Il ressort par ailleurs de la lettre de soutien de la mère de sa fille L._______ ayant été annexée à la demande de réexamen du 11 décembre 2017 (cf. act. SEM 31 p. 370) que l'intéressé n'avait alors plus versé la contribution d'entretien due à cette dernière depuis l'année 2016. Aux dires de la mère de L._______, l'intéressé n'aurait participé dans l'intervalle qu'à une seule reprise, à raison de 170 francs, à une dépense en faveur de sa fille L._______ (à l'achat de lunettes, en l'occurrence). Force est dès lors de constater que le recourant n'a pas non plus démontré qu'il se serait acquitté régulièrement des pensions alimentaires dues à ses quatre enfants après la fin de la procédure ordinaire.</w:t>
      </w:r>
    </w:p>
    <w:p>
      <w:r>
        <w:rPr>
          <w:b/>
        </w:rPr>
        <w:t>E. 4.4</w:t>
      </w:r>
    </w:p>
    <w:p>
      <w:r>
        <w:t>Dans le cadre de la présente procédure extraordinaire, le recourant s'est finalement prévalu de la naissance de son fils O._______ en mars 2018, de la constatation de son lien de paternité envers cet enfant par jugement du Tribunal civil du district de Dietikon du 18 juillet 2019 et de ses liens avec ses enfants L._______ et N._______. Afin de démontrer ses liens avec ces deux derniers, il a annexé à sa demande de réexamen du 11 décembre 2017 des lettres de soutien de leurs mères respectives. Dans sa lettre, la mère de L._______ a relevé que père et fille se contactaient régulièrement par téléphone, que L._______ avait la possibilité de voir son père quand elle le souhaitait et que, "depuis quelques semaines", le recourant essayait "de la voir plus souvent" (cf. act. SEM 13 p. 370). Quant à la mère de N._______, elle a souligné que père et fils entretenaient "une bonne relation" et avaient beaucoup d'activités communes, que N._______ avait la possibilité d'appeler son père "tout le temps" et que ce dernier faisait "le maximum" pour être présent dans la vie de son fils (cf. act. SEM 13 p. 371).</w:t>
      </w:r>
    </w:p>
    <w:p>
      <w:r>
        <w:rPr>
          <w:b/>
        </w:rPr>
        <w:t>E. 4.4.1</w:t>
      </w:r>
    </w:p>
    <w:p>
      <w:r>
        <w:t>Selon la jurisprudence constante, un étranger peut, à certaines conditions, se prévaloir de la protection de la vie familiale consacrée à l'art. 8 par. 1 CEDH pour s'opposer à l'éventuelle séparation de sa famille et obtenir ainsi une autorisation de séjour, lorsqu'il entretient une relation effective et étroite avec un membre de sa famille bénéficiant d'un droit de présence assuré en Suisse, découlant de la nationalité suisse, d'une autorisation d'établissement ou d'une autorisation de séjour à laquelle le droit national ou international confère un droit. Cette norme conventionnelle vise toutefois avant tout la famille au sens étroit, c'est-à-dire la communauté formée par les époux et leurs enfants mineurs (sur ces questions, cf. ATF 144 I 266 consid. 3.3, 144 II 1 consid. 6.1, 135 I 143 consid. 1.3.1 et 1.3.2, jurisprudence confirmée notamment par l'arrêt du TF 2C_110/2020 du 9 juin 2020 consid. 1.1). Ainsi, lorsque le parent étranger ne vit pas en ménage commun avec son enfant (respectivement lorsqu'il n'a pas le droit de garde, ni a fortiori l'autorité parentale exclusive sur l'enfant), il n'est en principe pas nécessaire que, dans l'optique de pouvoir exercer son droit de visite, ledit parent soit habilité à résider durablement dans le même pays que son enfant. Sous l'angle du droit au respect de la vie familiale garanti par l'art. 8 par. 1 CEDH, il suffit en règle générale que le parent vivant à l'étranger exerce son droit de visite dans le cadre de séjours de courte durée, au besoin en aménageant ses modalités quant à la fréquence et à la durée. Selon la jurisprudence,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144 I 91 consid. 5.2, 143 I 21 consid. 5.2 et 5.3, 140 I 145 consid. 3.2, 139 I 315 consid. 2.2; sur ce dernier point, cf. également ATF 142 II 35 consid. 6.2, 141 II 169 consid. 5.2.1; cf. arrêt du TAF F-2306/2018 précité consid. 6.3.1). S'agissant de l'exigence d'un lien affectif particulièrement fort, la jurisprudence a précisé que, dans l'hypothèse où le parent étranger pouvait se prévaloir d'un droit de séjour en Suisse fondé sur l'art. 50 al. 1 LEtr à la suite de la dissolution de son union avec une personne de nationalité suisse ou titulaire d'une autorisation d'établissement, cette exigence devait être considérée comme étant remplie déjà lorsque les contacts personnels étaient exercés de manière effective, régulière et sans encombres dans le cadre d'un droit de visite "usuel" selon les standards actuels, soit à raison d'un week-end sur deux et de la moitié des vacances scolaires. Dans les autres cas (à savoir pour les étrangers qui, comme le recourant, sollicitaient le renouvellement ou la prolongation d'une autorisation de séjour à laquelle le droit suisse ne confère pas un droit), il était toujours exigé que les relations affectives avec l'enfant soient effectivement vécues de manière plus intense que dans la situation d'un droit de visite usuel (cf. ATF 139 I 315 consid. 2.3 à 2.5 ; cf. aussi ATF 140 I 145 consid. 3.2; arrêt du TAF F-3799/2015 du 8 décembre 2017 consid. 4.3).</w:t>
      </w:r>
    </w:p>
    <w:p>
      <w:r>
        <w:rPr>
          <w:b/>
        </w:rPr>
        <w:t>E. 4.4.2</w:t>
      </w:r>
    </w:p>
    <w:p>
      <w:r>
        <w:t>Dans le cas particulier, on ne saurait perdre de vue que seuls trois des quatre enfants du recourant (L._______, M._______ et O._______), à l'exclusion de son fils N._______, disposent d'un droit de présence assuré en Suisse susceptible de justifier la mise en oeuvre de l'art. 8 CEDH (cf. let. A.a et A.b, A.e, A.g et C.c supra). Or, force est de constater que, dans sa décision de refus d'approbation et de renvoi du 20 juillet 2017, l'autorité inférieure avait admis que l'intéressé bénéficiait d'un "droit de visite libre et large" à l'égard de L._______ et que "l'exigence du lien particulièrement fort" posée par la jurisprudence paraissait réalisée en ce qui concernait la prénommée. La lettre de soutien de la mère de L._______ ayant été produite dans le cadre de la présente procédure extraordinaire ne représente donc pas à proprement parler un élément nouveau susceptible d'ouvrir la voie du réexamen. Quant à la lettre de soutien de la mère de N._______, elle ne constitue pas un élément pertinent de nature à entraîner une reconsidération de la situation du recourant sous l'angle de la protection de la vie familiale garantie par la norme conventionnelle susmentionnée.</w:t>
      </w:r>
    </w:p>
    <w:p>
      <w:r>
        <w:rPr>
          <w:b/>
        </w:rPr>
        <w:t>E. 4.4.3</w:t>
      </w:r>
    </w:p>
    <w:p>
      <w:r>
        <w:t>Il convient par ailleurs de relativiser les liens entretenus par le recourant avec son fils cadet O._______, au regard de l'âge de l'enfant (deux ans et demi) et compte tenu du fait que les intéressés ont cessé de vivre en ménage commun le 1er juin 2019, date à laquelle son ex-concubine s'est apparemment installée avec l'enfant dans le canton de Zurich, raison pour laquelle la procédure en reconnaissance de paternité que le recourant avait entamée dans le canton de Vaud avait été menée à bien dans le canton de Zurich. A ce propos, il sied de relever que, par jugement du 18 juillet 2019, le Tribunal civil du district de Dietikon a attribué l'autorité parentale conjointe sur l'enfant à ses parents et, compte tenu de la séparation de ces derniers survenue dans l'intervalle, a confié la garde de l'enfant à la mère, fixé le droit de visite du père et condamné celui-ci à verser une pension alimentaire de 490 francs en faveur de cet enfant, rétroactivement à compter du 1er juin 2019 (cf. consid. 4.3 3ème § supra). Or, force est de constater que le droit de visite fixé par ledit tribunal (d'un dimanche sur deux entre 10h et 12h jusqu'à fin mai 2020, d'un week-end sur deux du samedi à 10h au dimanche à 18h jusqu'à fin 2021 et, en sus, de deux semaines par année durant les vacances scolaires seulement à partir de l'année 2022) ne correspond pas à un droit de visite usuel (cf. consid. 4.4.1 supra, et la jurisprudence citée). En outre, comme on l'a vu, l'intéressé n'a pas démontré, dans le cadre de la présente procédure extraordinaire, qu'il s'acquitterait régulièrement des pensions alimentaires dues à O._______, de sorte qu'il ne peut se prévaloir d'un lien économique fort avec cet enfant, ni d'ailleurs avec ses autres enfants (cf. consid. 4.3 supra).</w:t>
      </w:r>
    </w:p>
    <w:p>
      <w:r>
        <w:rPr>
          <w:b/>
        </w:rPr>
        <w:t>E. 4.4.4</w:t>
      </w:r>
    </w:p>
    <w:p>
      <w:r>
        <w:t>Les faits et moyens nouveaux sur lesquels se fonde le recourant dans le cadre de la présente procédure extraordinaire ne sont donc manifestement pas suffisants pour conduire à une nouvelle appréciation de sa situation sous l'angle de la protection de la vie familiale garantie par l'art. 8 par. 1 CEDH (et la jurisprudence y relative), ce d'autant plus que l'intéressé n'a pas eu un comportement irréprochable durant son séjour en Suisse, puisqu'il a été condamné pénalement à plusieurs reprises, la dernière fois postérieurement à la fin de la procédure ordinaire, pour soustraction d'objets mis sous main de l'autorité (cf. let. B.h supra). Dans ce contexte, le recourant ne peut tirer aucun avantage de la Convention relative aux droits de l'enfant (CDE), étant donné que cette convention - contrairement à la CEDH - ne fonde aucune prétention directe à l'obtention d'un titre de séjour en Suisse (cf. ATF 140 I 145 consid. 3.2, 139 I 315 consid. 2.4, et la jurisprudence citée). On ne saurait par ailleurs perdre de vue que si l'intérêt de l'enfant à pouvoir maintenir des contacts avec ses deux parents constitue certes un aspect primordial à prendre en considération dans le cadre de la pesée des intérêts commandée par l'art. 8 par. 2 CEDH, il ne jouit pas d'une priorité absolue (cf. ATAF 2014/20 consid. 8.3.6, et les références citées). On relèvera enfin, à toutes fins utiles, que, dans la mesure où le recourant n'a pas la garde de ses filles L._______ et M._______ (qui sont toutes deux titulaires d'une autorisation d'établissement UE/AELE) et n'a de surcroît pas démontré disposer de ressources suffisantes pour subvenir à leur entretien, il ne peut se prévaloir, à titre dérivé, d'un droit de séjour en Suisse fondé sur l'art. 24 Annexe I ALCP (en relation avec l'art. 6 ALCP et avec l'art. 16 OLCP) fondé sur la jurisprudence Zhu et Chen développée par la Cour de justice de l'Union européenne (sur ces questions, cf. notamment l'arrêt du TAF F-2306/2018 précité consid. 6.4 2ème §).</w:t>
      </w:r>
    </w:p>
    <w:p>
      <w:r>
        <w:rPr>
          <w:b/>
        </w:rPr>
        <w:t>E. 4.5</w:t>
      </w:r>
    </w:p>
    <w:p>
      <w:r>
        <w:t>Il importe au demeurant de constater que, bien que le recourant totalise désormais quinze ans de séjour en Suisse, ledit séjour ne saurait justifier la mise en oeuvre de la protection de la vie privée garantie par l'art. 8 par. 1 CEDH.</w:t>
      </w:r>
    </w:p>
    <w:p>
      <w:r>
        <w:rPr>
          <w:b/>
        </w:rPr>
        <w:t>E. 4.5.1</w:t>
      </w:r>
    </w:p>
    <w:p>
      <w:r>
        <w:t>Dans le cas particulier, il sied de constater que, lors du prononcé de la décision de refus d'approbation et de renvoi ayant mis fin à la procédure ordinaire, le recourant - qui avait bénéficié d'une autorisation de séjour valable du 10 octobre 2005 au 25 novembre 2015 (cf. let. A.c, A.d et B.a supra) - totalisait déjà un peu plus de dix ans de séjour légal en Suisse et que, nonobstant la durée prolongée dudit séjour (qui était susceptible de justifier la mise en oeuvre de l'art. 8 par. 1 CEDH sous l'angle étroit de la protection de la vie privée), l'autorité inférieure avait refusé d'approuver le renouvellement de son autorisation de séjour. Le séjour accompli par l'intéressé après la fin de la procédure ordinaire ne constitue donc pas un élément nouveau susceptible d'ouvrir la voie du réexamen. A titre superfétatoire, le Tribunal de céans observe que, même si ledit séjour constituait un élément nouveau susceptible d'ouvrir la voie du réexamen sous l'angle de la protection de la vie privée, il ne serait pas de nature à conduire à une appréciation de la situation du recourant dans un sens favorable, car des motifs sérieux s'opposent à la poursuite du séjour de l'intéressé en Suisse. On rappellera en effet que, déjà au mois de septembre 2013, l'autorité inférieure, constatant que le recourant peinait à s'intégrer sur le plan professionnel, ne s'acquittait plus des pensions alimentaires dues à ses enfants et s'était endetté, l'avait averti que s'il ne mettait pas tout en oeuvre pour améliorer sa situation, la poursuite de son séjour en Suisse lui serait ultérieurement refusée (cf. let. A.f supra). Or, l'intéressé a fait fi de cet avertissement. Même après la fin de la procédure ordinaire, il n'a pas été apte à démontrer qu'il était en mesure d'assurer son autonomie financière sans faire de nouvelles dettes et de satisfaire à ses engagements financiers envers ses enfants et ses créanciers. Aucun pronostic favorable ne peut dans ces conditions être émis quant à l'évolution future de sa situation financière. De plus, comme on l'a vu, l'intéressé n'a pas fait preuve d'un comportement irréprochable durant son séjour en Suisse, loin de là (cf. consid. 4.4.4 supra).</w:t>
      </w:r>
    </w:p>
    <w:p>
      <w:r>
        <w:rPr>
          <w:b/>
        </w:rPr>
        <w:t>E. 4.6</w:t>
      </w:r>
    </w:p>
    <w:p>
      <w:r>
        <w:t>C'est donc à juste titre que, par décision du 13 novembre 2018, l'autorité inférieure a rejeté la demande de réexamen du recourant sur la base des moyens de preuve qui lui avaient été transmis. Quant aux pièces ayant été versées en cause dans le cadre de la présente procédure de recours, elles ne sont manifestement pas susceptibles de conduire à une nouvelle appréciation de la situation de l'intéressé dans un sens favorable. Le Tribunal de céans peut donc se dispenser de les transmettre à l'autorité inférieure afin qu'elle les examine sous l'angle du réexamen.</w:t>
      </w:r>
    </w:p>
    <w:p>
      <w:r>
        <w:rPr>
          <w:b/>
        </w:rPr>
        <w:t>E. 5.1</w:t>
      </w:r>
    </w:p>
    <w:p>
      <w:r>
        <w:t>Il ressort de ce qui précède que, par sa décision du 13 novembre 2018, l'autorité inférieure n'a ni violé le droit fédéral, ni constaté des faits pertinents de manière inexacte ou incomplète ; en outre, cette décision n'est pas inopportune (cf. art. 49 PA).</w:t>
      </w:r>
    </w:p>
    <w:p>
      <w:r>
        <w:rPr>
          <w:b/>
        </w:rPr>
        <w:t>E. 5.2</w:t>
      </w:r>
    </w:p>
    <w:p>
      <w:r>
        <w:t>Partant, le recours, dans la mesure où il est recevable (cf. consid. 1.3 supra), doit être rejeté.</w:t>
      </w:r>
    </w:p>
    <w:p>
      <w:r>
        <w:rPr>
          <w:b/>
        </w:rPr>
        <w:t>E. 5.3</w:t>
      </w:r>
    </w:p>
    <w:p>
      <w:r>
        <w:t>Vu l'issue de la cause, les frais de la procédure doivent être mis à la charge du recourant, qui ne peut par ailleurs prétendre à l'octroi de dépens (cf. art. 63 al. 1 1ère phrase et art. 64 al. 1 a contrario PA, en relation avec l'art. 7 al. 1 a contrario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