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F-7036/2016 vom 22. Juni 2017</w:t>
      </w:r>
    </w:p>
    <w:p>
      <w:r>
        <w:t>Bundesverwaltungsgericht, 2017-06-22, DE</w:t>
      </w:r>
    </w:p>
    <w:p>
      <w:r>
        <w:rPr>
          <w:b/>
        </w:rPr>
        <w:t xml:space="preserve">Quelle: </w:t>
      </w:r>
      <w:r>
        <w:t>https://mcp.opencaselaw.ch/entscheid/bvger_F-7036_2016</w:t>
      </w:r>
    </w:p>
    <w:p>
      <w:r>
        <w:t>FR: TAF F-7036/2016 du 22 juin 2017</w:t>
      </w:r>
    </w:p>
    <w:p>
      <w:r>
        <w:t>IT: TAF F-7036/2016 del 22 giugno 2017</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richtet sich nach dem VwVG, soweit das VGG nichts anderes bestimmt (vgl. Art. 37 VGG).</w:t>
      </w:r>
    </w:p>
    <w:p>
      <w:r>
        <w:rPr>
          <w:b/>
        </w:rPr>
        <w:t>E. 1.2</w:t>
      </w:r>
    </w:p>
    <w:p>
      <w:r>
        <w:t>Die Beschwerdeführerin ist gemäss Art. 48 Abs. 1 VwVG als Verfügungsadressatin zur Beschwerde legitimiert. Auf die im Übrigen frist- und formgerecht eingereichte Beschwerde ist einzutreten (vgl. Art. 50 und 52 VwVG).</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Gemäss Art. 67 Abs. 1 AuG verfügt das SEM - unter Vorbehalt von Abs. 5 - ein Einreiseverbot gegenüber weggewiesenen Ausländerinnen und Ausländern, wenn die Wegweisung nach Art. 64d Abs. 2 Bst. a - c sofort vollstreckt wird (Bst. a) oder die betroffene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3.2</w:t>
      </w:r>
    </w:p>
    <w:p>
      <w:r>
        <w:t>Das Einreiseverbot wird gemäss Art. 67 Abs. 3 AuG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ausnahmsweise abgesehen oder ein Einreiseverbot vollständig oder vorübergehend aufgehoben werden (Art. 67 Abs. 5 AuG).</w:t>
      </w:r>
    </w:p>
    <w:p>
      <w:r>
        <w:rPr>
          <w:b/>
        </w:rPr>
        <w:t>E. 3.3</w:t>
      </w:r>
    </w:p>
    <w:p>
      <w:r>
        <w:t>Das Einreiseverbot ist keine Sanktion für vergangenes Fehlverhalten, sondern eine Massnahme zur Abwendung einer künftigen Störung der öf-fentlichen Sicherheit und Ordnung (siehe Botschaft zum AuG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F-7016/2015 vom 21. April 2017 E. 4.2 m.H.).</w:t>
      </w:r>
    </w:p>
    <w:p>
      <w:r>
        <w:rPr>
          <w:b/>
        </w:rPr>
        <w:t>E. 3.4</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jeder Ausländerin und jedem Ausländer, sich über die bestehenden Rechte und Pflichten im Zusammenhang mit ausländerrechtlichen Vorschriften ins Bild zu setzten und sich im Falle von Unklarheiten bei der zuständigen Behörde zu erkundigen (vgl. statt vieler Urteil des BVGer F-6100/2016 vom 27. Januar 2017 E. 4.2 m.H.).</w:t>
      </w:r>
    </w:p>
    <w:p>
      <w:r>
        <w:rPr>
          <w:b/>
        </w:rPr>
        <w:t>E. 4</w:t>
      </w:r>
    </w:p>
    <w:p>
      <w:r>
        <w:t>Auf die ursprüngliche SIS II-Ausschreibung ist nicht näher einzugehen. Diese wurde mit angepasster Verfügung vom 8. November 2016 widerrufen, bildet mithin nicht Verfahrensgegenstand.</w:t>
      </w:r>
    </w:p>
    <w:p>
      <w:r>
        <w:rPr>
          <w:b/>
        </w:rPr>
        <w:t>E. 5.1</w:t>
      </w:r>
    </w:p>
    <w:p>
      <w:r>
        <w:t>Die Beschwerdeführerin wurde am 17. Oktober 2016 im Kanton Zürich von der Polizei kontrolliert. Sie wies sich mit einem (gültigen) nigerianischen Reisepass und einem abgelaufenen Ausländerausweis aus Spanien (Permiso de Residencia), gültig bis zum 7. August 2016 aus (kant.-pag. 2 ff.).</w:t>
      </w:r>
    </w:p>
    <w:p>
      <w:r>
        <w:rPr>
          <w:b/>
        </w:rPr>
        <w:t>E. 5.2</w:t>
      </w:r>
    </w:p>
    <w:p>
      <w:r>
        <w:t>Gegen das vom SEM verfügte Einreiseverbot liess die Beschwerdeführerin in der Beschwerdeschrift geltend machen, die Vorinstanz habe den Sachverhalt nicht richtig abgeklärt. Sie sei Inhaberin einer spanischen Niederlassungsbewilligung ("Permiso de Residencia"). Dieses sei in der Liste der anerkannten, von den Schengenmitgliedstaaten ausgestellten Aufenthaltstiteln aufgeführt. Es sei richtig, dass das "Permiso de Residencia", welches sie im Zeitpunkt ihres Aufenthalts und ihrer Festnahme bei sich gehabt habe, am 7. August 2016 abgelaufen sei. Ihr sei aber per 9. August 2016 die Erneuerung des Permiso mit Gültigkeit bis zum 7. August 2021 bestätigt worden. Bis zur Aushändigung der neuen ID-Karte werde dem Drittstaatsangehörigen vom spanischen Innenministerium ein sog. "Resguardo de Solicitud o Renovacion de Tarjeta de Extranjero" ausgehändigt. Darüber hinaus habe sie auch eine Rückreisebewilligung ("Autorizaciòn de Regreso") der spanischen Migrationsbehörden auf sich getragen, welche den beschriebenen Sachverhalt bestätige. Das "Resguardo" gelte bis zur Aushändigung des neuen "Permiso de Residencia" als dem Ausländerausweis gleichgestellt, sofern der betroffene Ausländer den abgelaufenen Ausländerausweis und ein gültiges Reisedokument seines Drittstaates mit sich führe. Dies gehe aus den Bemerkungen auf dem "Resguardo" hervor. Sie sei somit zur visumsfreien Einreise in die Schweiz zugelassen gewesen und habe auch nicht - zumindest nicht wissentlich und nicht willentlich - gegen die Bestimmungen des AuG verstossen. Ein Einreiseverbot sei unverhältnismässig (BVGer-act. 1).</w:t>
      </w:r>
    </w:p>
    <w:p>
      <w:r>
        <w:rPr>
          <w:b/>
        </w:rPr>
        <w:t>E. 5.3</w:t>
      </w:r>
    </w:p>
    <w:p>
      <w:r>
        <w:t>Die Vorinstanz beantragte in ihrer Vernehmlassung vom 10. Januar 2017 die Abweisung der Beschwerde und führte aus, das Verhalten der Beschwerdeführerin habe zur Wegweisung aus der Schweiz geführt. Dies rechtfertige den Erlass eines Einreiseverbots. Das bei der Festnahme am 7. August 2016 mitgeführte "Permiso de Residencia" sei abgelaufen gewesen und das vom spanischen Innenministerium ausgestellte "Resguardo de Solicitud o Renovacion de Tarjeta de Extranjero" berechtige auch in Verbindung mit dem nigerianischen Reisepass nicht zur Einreise in die Schweiz. Dieses Ersatzdokument berechtige nicht zum visumsfreien Aufenthalt im Schengenraum ausserhalb von Spanien (BVGer-act. 5).</w:t>
      </w:r>
    </w:p>
    <w:p>
      <w:r>
        <w:rPr>
          <w:b/>
        </w:rPr>
        <w:t>E. 5.4</w:t>
      </w:r>
    </w:p>
    <w:p>
      <w:r>
        <w:t>Mit Replik vom 9. Februar 2017 liess die Beschwerdeführerin ausführen, die Vorinstanz gehe von einer falschen Anwendung des Schengener-Grenzkodex (Verordnung [EU] 2016/399 vom 9. März 2016, kodifizierter Text, ABl. L 77/1 vom 23. März 2016; nachfolgend: SGK-K) aus. Aus der aktualisierten Liste der Aufenthaltstitel gemäss Art. 2 Abs. 15 der Verordnung (EG) Nr. 2006/562 bzw. gemäss Art. 2 Abs. 16 SGK-K, publiziert im Amtsblatt der Europäischen Union 2011/C 201/01 vom 8. Juli 2011 gehe hervor, welche Aufenthaltstitel zugelassen seien. Aus dem beigelegten Auszug gehe hervor, dass die "Autorización de Regreso" einem Aufenthaltstitel gleichgestellt sei. Die Beschwerdeführerin habe mindestens ein Dokument mit sich geführt, welches sie zum Aufenthalt und zur Wiedereinreise in den Schengenstaat Spanien berechtige. Zudem sei das Verschulden der spanischen Migrationsbehörde zu berücksichtigen, welche die Papiere an die rechtsunkundige Beschwerdeführerin ausgestellt habe. Die Behörde habe von der Reise in die Schweiz zwecks Behandlung einer Augenkrankheit gewusst (BVGer-act. 7).</w:t>
      </w:r>
    </w:p>
    <w:p>
      <w:r>
        <w:rPr>
          <w:b/>
        </w:rPr>
        <w:t>E. 5.5</w:t>
      </w:r>
    </w:p>
    <w:p>
      <w:r>
        <w:t>In ihrer zweiten Vernehmlassung vom 20. Februar 2017 führte die Vorinstanz aus, Staatsangehörige aus Nigeria würden im Grundsatz ein Visum der Kategorie C benötigen, um für einen kurzfristigen Aufenthalt in die Schweiz zu kommen. Von dieser Visumspflicht seien sie jedoch befreit, wenn sie im Besitz eines bestimmten Aufenthaltstitels eines Schengen-Mitgliedstaates seien oder über ein Visum für den längerfristigen Aufenthalt (Kategorie D) verfügten. Gestützt auf die Aktenlage stehe fest, dass die Beschwerdeführerin bei der Einreise in die Schweiz nebst dem gültigen nigerianischen Reisepass, ein am 7. August 2016 abgelaufenes "Permiso de Residencia" sowie eine "Resguardo de Solicitud o Renovacion de Tarjeta de Extranjero" auf sich getragen habe. Hierbei handle es sich nicht um die Ausländerkarte (Tarjeta de Extranjero) selbst, sondern lediglich um die Bestätigung, dass die Ausstellung einer solchen geprüft werde. Aus der aktualisierten Form des Amtsblattes der europäischen Union vom 15. März 2014 gehe hervor, dass dieses Dokument nicht mehr als Aufenthaltstitel gelte und somit die Beschwerdeführerin nicht berechtigt gewesen sei, visumsfrei in die Schweiz einzureisen. Diese Aufenthaltsgestattung sei schon von Gesetzes wegen kein Aufenthaltstitel, der einem Visum gleichwertig sei (vgl. dazu Art. 2 Ziff. 16 Abs. 2 Bst. b Schengener Grenzkodex). Aus diesem Grund benötige die Beschwerdeführerin neben dem nigerianischen Pass und des "Resguardo de Solicitud o Renovacion de Tarjeta de Extranjero" zusätzlich ein Visum der Kategorie C, was bei einer zuständigen Schweizer Vertretung in Spanien beantragt werden könne (BVGer-act. 9).</w:t>
      </w:r>
    </w:p>
    <w:p>
      <w:r>
        <w:rPr>
          <w:b/>
        </w:rPr>
        <w:t>E. 5.6</w:t>
      </w:r>
    </w:p>
    <w:p>
      <w:r>
        <w:t>Mit Eingabe vom 6. März 2017 liess die Beschwerdeführerin vorbringen, das SEM habe sich nicht zur sog. "Autorización de Regreso", welche ihr von den spanischen Behörden im Hinblick auf die Reise in die Schweiz und die vorgesehene Rückkehr nach Spanien mitgegeben worden sei, geäussert. Selbst wenn man der Ansicht des SEM folgen wolle, müsse der Grundsatz der Verhältnismässigkeit und das Gleichbehandlungsgebot i.S.v. Art. 8 BV beachtet werden. Sie sei rechtsunkundig und mit den Dokumenten und den Informationen, welche sie von den spanischen Grenzbehörden erhalten habe, in die Schweiz gereist, um sich hier behandeln zu lassen (BVGer-act. 11). 6.6.1 Gemäss Art. 6 Abs. 1 Bst. a und Bst. b SGK-K müssen Drittstaatsangehörige über ein für den Grenzübertritt anerkanntes Ausweispapier und über ein Visum zu verfügen, sofern dies erforderlich ist. Von der Visumspflicht befreit sind Personen, die Inhaber eines gültigen Aufenthaltstitels eines Schengen-Staates sind oder über ein Visum zum längerfristigen Aufenthalt verfügen. Diese Dokumente müssen bei Kontrollen vorgewiesen werden können (vgl. Art. 8 SGK-K). Wird bei einer Kontrolle festgestellt, dass ein Drittstaatsangehöriger die Einreisevoraussetzungen nicht oder nicht mehr erfüllt, wird sein Aufenthalt als illegal angesehen (vgl. Art. 3 Ziff. 2 der Rückführungsrichtlinie 2008/115/EG vom 16. Dezember 2008, ABl. L 348/98 vom 24.12.2008). 6.2 Aus der aktualisierten Form des Amtsblatt der Europäischen Union 2014/C 77/04 vom 15. März 2014 geht hervor, dass folgende Dokumente als Aufenthaltstitel gelten: - Permiso de residencia expedido a nacionales de terceros países (Aufenthaltstitel für Drittstaatsangehörige) - Tarjeta de extranjeros «régimen comunitario» (expedida a familiares de ciudadanos de la Unión Europea) (Ausländerkarte gemäß Gemeinschaftsregelung ([für Familienangehörige von EU-Bürgern]) - Tarjeta de extranjeros «estudiante» (Ausländerkarte für Studierende) - Lista de personas que participan en un viaje escolar dentro de l'Unión Europea (Liste der Teilnehmer einer Schülerreise innerhalb der Europäischen Union) Die von der Beschwerdeführerin anlässlich der Polizeikontrolle vom 17. Oktober 2016 vorgelegten Dokumente "Autorización de Regreso" und "Resguardo de Solicitud o Renovacion de Tarjeta de Extranjero" gelten demzufolge nicht bzw. nicht mehr als Aufenthaltstitel (vgl. http://eur-lex.europa.eu/legal-content/DE/TXT/?uri=OJ:C:2014:077:TOC , abgerufen im Mai 2017). Und das mitgeführte "Permiso de residencia" war am 7. August 2016 abgelaufen. Diese Dokumente ermächtigten die Beschwerdeführerin zu keinem Zeitpunkt zum Aufenthalt in anderen Schengen-Staaten als Spanien. 6.3 Da die Beschwerdeführerin die notwendigen Dokumente nicht bei sich trug, erfüllte sie die Einreisevoraussetzungen nicht, und ihr Aufenthalt in der Schweiz war deshalb illegal. Dieser Umstand stellt einen Fernhaltegrund im Sinne von Art. 67 Abs. 2 Bst. a AuG dar. Daran vermag nichts zu ändern, dass die Beschwerdeführerin glaubte, die mitgeführten Dokumente würden ausreichen. Sie hätte sich über die Rahmenbedingungen ihres Aufenthaltes kundig machen müssen (vgl. E. 3.4). An dieser Schlussfolgerung vermag auch der Umstand nichts zu ändern, dass die Beschwerdeführerin nachträglich die Kopie einer bereits zwei Monate vor ihrer Einreise in die Schweiz ausgestellten spanischen Aufenthaltsbewilligung (ausgestellt am 9. August 2016, gültig bis zum 7. August 2021) vorlegen konnte (vgl. BVGer-act. 1 Beilage 10 kant.-pag. 18, 21 und 28; Urteil des BVGer F-954/2016 vom 3. August 2016 E. 7.5). 7.Überdies wurde die Beschwerdeführerin mit Strafbefehl der Staatsanwaltschaft Zürich - Sihl vom 18. Oktober 2016 des rechtswidrigen Aufenthalts sowie der rechtswidrigen Einreise für schuldig befunden und mit einer Geldstrafe von 30 Tagessätzen bestraft. Dass die Vorinstanz diese Gegebenheiten beim Erlass der angefochtenen Verfügung mitberücksichtigte, obwohl der Strafbefehl noch nicht rechtskräftig war, ist im Übrigen nicht zu beanstanden. Eine Fernhaltmassnahme knüpft nämlich nicht an die Erfüllung einer Strafnorm, sondern an das Vorliegen einer Polizeigefahr an. Ob eine solche besteht und wie sie zu gewichten ist, hat die zuständige Behörde in eigener Kompetenz unter Zugrundelegung spezifisch ausländerrechtlicher Kriterien zu beurteilen. Entsprechend ist sie in der Regel nicht gehalten, den rechtskräftigen Abschluss eines Strafverfahrens abzuwarten. Ein Einreiseverbot kann grundsätzlich auch dann ergehen, wenn ein rechtskräftiges Strafurteil fehlt (vgl. Urteil des BVGer F-5323/2014 vom 23. August 2016 E. 7.3 m.H.). 8.8.1 Der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 H.). 8.2 Aus der illegalen Anwesenheit der Beschwerdeführerin in der Schweiz wird auf eine Gefährdung der öffentlichen Sicherheit und Ordnung geschlossen (vgl. E. 3.3). An der Einhaltung der Rechtsordnung im Allgemeinen und den Vorschriften über Einreise und Aufenthalt im Besonderen besteht ein gewichtiges öffentliches Interesse. Gewichtig ist zum einen das generalpräventiv motivierte Interesse, die öffentliche Ordnung durch eine konsequente Massnahmepraxis zu schützen. Zum anderen liegt eine spezialpräventive Zielsetzung der Massnahme darin, die Beschwerdeführerin zu ermahnen, bei einer allfälligen künftigen Wiedereinreise nach dem Ablauf des Einreiseverbots die für sie geltenden Regeln einzuhalten. Dies umso mehr, weil die Beschwerdeführerin trotz bestehendem Einreiseverbot im April 2017 erneut in die Schweiz eingereist ist. Das öffentliche Interesse an einer zeitweiligen Fernhaltung der Beschwerdeführerin ist demnach als gewichtig anzusehen (vgl. Urteil des BVGer F-954/2016 vom 3. August 2016 E. 8.2 m.H.). 8.3 Dem öffentlichen Interesse sind die privaten Interessen der Beschwerdeführerin gegenüber zu stellen. Diesbezüglich wird nichts geltend gemacht. Aber selbst wenn Freunde der Beschwerdeführerin in der Schweiz leben würden, würde diese Tatsache allein nicht genügen, damit eine solche Beziehung in den Schutzbereich von Art. 8 EMRK fiele, da die diesbezüglichen Anforderungen sehr hoch sind (vgl. BGE 130 II 281 E. 3.2.1; Jens Meyer-Ladewig, EMRK, Handkommentar, 3. Aufl. 2011, N 67 zu Art. 8). Zudem ist nicht ersichtlich, dass die Beschwerdeführerin auf eine medizinische Behandlung in der Schweiz angewiesen wäre (siehe BVGer-act. 3). 8.4 Vor dem Hintergrund des geschilderten öffentlichen Interesses an der Fernhaltung der Beschwerdeführerin von der Schweiz (und dem Fürstentum Liechtenstein) und fehlender privater Interessen ist das verhängte Einreiseverbot dem Grundsatz nach zu bestätigen. Hinsichtlich seiner Dauer erscheint es in Berücksichtigung vergleichbarer Fälle sowie in Berücksichtigung der besonderen Umstände in casu (an sich geregelter Aufenthalt in Spanien, Verhalten der spanischen Behörden) als unverhältnismässig lang, weshalb es auf ein Jahr zu begrenzen ist (vgl. Urteile des BVGer F-954/2016 vom 3. August 2016 E. 8.4 m.H. und F-6100/2016 vom 27. Januar 2017 Bst. D und E. 7). 9.Aus diesen Erwägungen ergibt sich, dass die Beschwerde teilweise gutzu-heissen ist. 10.Die Beschwerdeführerin hat mit Beschwerde vom 14. November 2016 um unentgeltliche Rechtspflege ersucht (Art. 65 Abs. 1 und 2 VwVG). Das Begehren der Beschwerdeführerin war nicht aussichtslos und ihre Bedürftigkeit wurde nachgewiesen (vgl. BVGer act. 3 mit Beilagen). Die sich stellenden Rechtsfragen und die persönlichen Umstände der Beschwerdeführerin rechtfertigen zudem die Bestellung eines amtlichen Anwalts (vgl. Art. 65 Abs. 2 VwVG). Demzufolge ist das Gesuch um Gewährung der unentgeltlichen Prozessführung samt Verbeiständung gutzuheissen. 11.11.1 Aufgrund der Gewährung der unentgeltlichen Verfahrensführung gemäss Art. 65 Abs. 1 VwVG sind vorliegend keine Kosten zu erheben. 11.2 Für die der Beschwerdeführerin erwachsenen notwendigen Kosten ist ihr im Umfang des Obsiegens eine Parteientschädigung zulasten der Vor-instanz zuzusprechen (vgl. Art. 64 Abs. 1 und Abs. 2 VwVG). Für den darüber hinausgehenden Aufwand ist der als amtlicher Anwalt eingesetzte Rechtsvertreter aus der Gerichtskasse zu entschädigen (vgl. Art. 12 VGKE). 11.3 Das Gericht setzt die Parteientschädigung und die Entschädigung für die amtlich bestellten Anwältinnen und Anwälte auf Grund der Kostennote fest. Wird keine Kostennote eingereicht, so setzt das Gericht die Entschä-digung auf Grund der Akten fest (Art. 14 Abs. 2 des Reglements vom 21. Februar 2008 über die Kosten und Entschädigungen vor dem Bundesverwaltungsgericht (VGKE, SR 173.320.2). In Berücksichtigung des Umfanges und der Notwendigkeit der Eingaben, der Schwierigkeit der Streitsache in rechtlicher und tatsächlicher Hinsicht sowie der aktenkundigen Bemühungen ist das Honorar nach Massgabe der einschlägigen Bestimmungen auf Fr. 1'500.- (inkl. Auslagen; ohne Mehrwertsteuer, vgl. hierzu z. B. Urteil des BVGer C-5539/2014 vom 14. April 2016 E. 9.4 m.H.) festzusetzen (vgl. Art. 65 Abs. 2 und 3 VwVG i.V.m. Art. 9 ff. VGKE). Vom genannten Betrag entfallen Fr. 750.- auf die Parteientschädigung, die zulasten der Vorinstanz geht, und Fr. 750.- auf das amtliche Honorar, das zulasten der Gerichtskasse geht. Gelangt die Beschwerdeführerin später zu hinreichenden Mitteln, so hat sie dem Gericht das amtliche Honorar zu vergüten (vgl. Art. 65 Abs. 4 VwVG). 12.Dieses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