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F-7022/2016 vom 7. Juni 2017</w:t>
      </w:r>
    </w:p>
    <w:p>
      <w:r>
        <w:t>Bundesverwaltungsgericht, 2017-06-07, FR</w:t>
      </w:r>
    </w:p>
    <w:p>
      <w:r>
        <w:rPr>
          <w:b/>
        </w:rPr>
        <w:t xml:space="preserve">Quelle: </w:t>
      </w:r>
      <w:r>
        <w:t>https://mcp.opencaselaw.ch/entscheid/bvger_F-7022_2016</w:t>
      </w:r>
    </w:p>
    <w:p>
      <w:r>
        <w:t>FR: TAF F-7022/2016 du 7 juin 2017</w:t>
      </w:r>
    </w:p>
    <w:p>
      <w:r>
        <w:t>IT: TAF F-7022/2016 del 7 giugno 2017</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arrêt du TAF F-1429/2016 du 15 novembre 2016 consid. 2). Aussi peut-il admettre ou rejeter le pourvoi pour d'autres motifs que ceux invoqués. Dans son arrêt, il prend en considération l'état de fait régnant au moment où il statue (cf. ATAF 2014/1 consid. 2).</w:t>
      </w:r>
    </w:p>
    <w:p>
      <w:r>
        <w:rPr>
          <w:b/>
        </w:rPr>
        <w:t>E. 3.1</w:t>
      </w:r>
    </w:p>
    <w:p>
      <w:r>
        <w:t>L'interdiction d'entrée, qui permet d'empêcher l'entrée ou le retour en Suisse (respectivement dans l'Espace Schengen) d'un étranger dont le séjour y est indésirable, est régie par l'art. 67 LEtr, dans sa teneur en vigueur depuis le 1er janvier 2011.</w:t>
      </w:r>
    </w:p>
    <w:p>
      <w:r>
        <w:rPr>
          <w:b/>
        </w:rPr>
        <w:t>E. 3.2</w:t>
      </w:r>
    </w:p>
    <w:p>
      <w:r>
        <w:t>En vertu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3.3</w:t>
      </w:r>
    </w:p>
    <w:p>
      <w:r>
        <w:t>On relèvera dans ce contexte que, dans son arrêt publié in: ATF 139 II 121 (consid. 6.1), le Tribunal fédéral a apporté une distinction, dans l'application de l'art. 67 al. 3 1ère phrase LEtr, selon que la personne concernée est ou non au bénéfice de l'ALCP (RS 0.142.112.681).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3.4</w:t>
      </w:r>
    </w:p>
    <w:p>
      <w:r>
        <w:t>Selon l'art. 67 al. 3, 2ème phrase, LEtr, l'interdiction d'entrée peut être prononcée pour une durée supérieure à cinq années, à condition que la personne concernée constitue une menace grave, pour la sécurité et l'ordre publics (ci-après : « palier II »). Le TF précise à ce propos qu'il n'y a aucune différence de traitement par rapport au prononcé d'une interdiction d'entrée pour une durée supérieure à cinq ans, entre un ressortissant d'un Etat tiers ou d'un Etat partie à l'ALCP, car l'art. 67 al. 3 LEtr suppose une menace caractérisée qui va au-delà de la menace justifiant la perte du droit de séjourner en Suisse au sens de l'ALCP (cf. ATF précité consid. 6.2).</w:t>
      </w:r>
    </w:p>
    <w:p>
      <w:r>
        <w:rPr>
          <w:b/>
        </w:rPr>
        <w:t>E. 3.5</w:t>
      </w:r>
    </w:p>
    <w:p>
      <w:r>
        <w:t>Lorsque l'étranger représente une menace grave, le SEM peut prononcer une durée de plus de cinq ans, laquelle ne saurait toutefois dépasser quinze ans ou, en cas de récidive, vingt ans (cf. ATAF 2014/20 consid. 7, arrêt du TAF F-7115/2015 du 15 décembre 2016 consid. 8.1).</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3.7</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3.8</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 (cf. arrêt du TAF F-7115/2015 du 15 décembre 2016 consid. 3.4).</w:t>
      </w:r>
    </w:p>
    <w:p>
      <w:r>
        <w:rPr>
          <w:b/>
        </w:rPr>
        <w:t>E. 4</w:t>
      </w:r>
    </w:p>
    <w:p>
      <w:r>
        <w:t>En l'occurrence, l'autorité inférieure a prononcé le 11 octobre 2016 une décision d'interdiction d'entrée d'une durée de 14 ans à l'endroit de A._______.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L'examen du dossier amène le Tribunal à constater que, durant son séjour en Suisse, A._______ a successivement fait l'objet, notamment entre 2007 et 2014, de huit condamnations pénales, prononcées en particulier pour crimes, délits et contraventions à la LStup, séquestration, enlèvement, lésions corporelles simples, voies de fait, injures, menaces, contrainte, tentative de contrainte, escroqueries, faux dans les titres, délits contre la LArm, violation grave des règles de la circulation routière et conduites d'un véhicule sans le permis de conduire.</w:t>
      </w:r>
    </w:p>
    <w:p>
      <w:r>
        <w:rPr>
          <w:b/>
        </w:rPr>
        <w:t>E. 5.2</w:t>
      </w:r>
    </w:p>
    <w:p>
      <w:r>
        <w:t>A cet égard, force est de constater que les infractions pénales imputées à A._______ sont objectivement très graves, tout particulièrement celles qui sont à l'origine de ses condamnations du 8 décembre 2009 et du 18 décembre 2014 et qui lui ont valu des peines d'emprisonnement de longue durée (plus de deux ans chacune).</w:t>
      </w:r>
    </w:p>
    <w:p>
      <w:r>
        <w:rPr>
          <w:b/>
        </w:rPr>
        <w:t>E. 5.3</w:t>
      </w:r>
    </w:p>
    <w:p>
      <w:r>
        <w:t>Au vu de ces délits et condamnations, il s'impose de retenir que le recourant a indiscutablement attenté à la sécurité et à l'ordre publics, de sorte qu'il remplit les conditions d'application de l'art. 67 al. 2 let. a LEtr. Aussi la mesure d'interdiction d'entrée prononcée le 11 octobre 2016 est manifestement justifiée dans son principe. 6.Il convient encore de déterminer si A._______ constitue une menace grave pour la sécurité et l'ordre publics justifiant le prononcé d'une mesure d'éloignement allant au-delà de la durée maximale de cinq ans prévue à l'art. 67 al. 3 1ème phrase LEtr. 6.1 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 6.2 A cet égard, le Tribunal se limite à souligner les deux condamnations les plus graves, respectivement à 26 mois et 33 mois de peine privative de liberté ferme : Il apparaît en particulier que, par jugement du 8 décembre 2009, la Cour d'assise de Neuchâtel a condamné l'intéressé à une peine privative de liberté d'ensemble de 26 mois sans sursis pour infractions graves à la LStup, commises entre mai 2007 et juin 2008. A cette occasion, la Cour d'assise a notamment relevé que A._______ avait effectué un voyage en France pour tenter, sans succès, de retrouver et ramener en Suisse au moins 5,5 kilos d'héroïne que l'un de ses comparses avait abandonnés dans la nature lors d'une course-poursuite avec la police française. La Cour a également retenu que le prénommé avait par ailleurs acquis 86 grammes de cocaïne, qu'il en avait vendu 45 grammes à un taux de pureté de 35%, qu'il en avait donné 10 grammes et qu'il en avait consommé 36 grammes, réalisant ainsi un bénéfice de 1'575 francs et qu'il avait acquis, ainsi que fumé, de la marijuana à diverses occasions. Ce jugement a été confirmé par arrêt de la Cour de cassation pénale du 21 avril 2010. Par ailleurs, par jugement du 18 décembre 2014, le Tribunal criminel du Littoral et du Val-de-Travers a condamné l'intéressé à une peine privative de liberté d'ensemble de 33 mois sans sursis. A cette occasion, le Tribunal a détaillé les nombreuses infractions dont A._______ s'est rendu coupable entre août 2009 et juin 2014, en particulier une violente gifle ayant occasionné une fracture de la mâchoire, la lésée ayant dû subir deux interventions chirurgicales, des gifles et des coups de poing à la tête de ses victimes ayant occasionné hématomes et tuméfactions, des menaces de mort et des contraintes sous la menace d'un couteau, ainsi que des tentatives de contrainte et la détention d'une arme à feu. Enfin, il l'a reconnu coupable d'infractions graves à la LStup, notamment pour avoir acquis à tout le moins 251,9 grammes de cocaïne, pour avoir aliéné à tout le moins 137,8 grammes de cocaïne, pour avoir consommé à tout le moins 75 grammes de cocaïne et pour avoir servi d'intermédiaire pour une quantité indéterminée de cocaïne entre des consommateurs et des fournisseurs. Le Tribunal a encore mentionné que plusieurs des infractions commises présentaient, tant sur le plan objectif que subjectif, une gravité marquée; ceci était particulièrement le cas du trafic de cocaïne, des menaces de mort, des atteintes à la liberté et des sérieuses lésions corporelles commises. Il a relevé le comportement navrant de l'intéressé durant la procédure, collaboration inexistante, usage répété du mensonge et de menaces, poursuite des menaces depuis le lieu de détention, ainsi que son absence de remord ou d'empathie envers les victimes. Ce jugement a été confirmé par arrêt de la Cour pénale du Tribunal cantonal neuchâtelois du 30 juin 2015. 6.3 Il faut encore souligner l'intensité de l'énergie criminelle de A._______, puisque le prénommé a continué ses activités délictueuses alors même qu'il était détenu (cf. jugement du Tribunal criminel précité du 18 décembre 2014, ordonnance pénale du Ministère public du canton de Berne du 20 mars 2014, décision de l'Office d'application des peines et mesures du 5 février 2016 de refus de libération conditionnelle). 6.4 En conséquence, en considération de la nature, de la gravité intrinsèque des infractions commises, ainsi que de leur caractère récidivant, le Tribunal arrive à la conclusion que les conditions émises à l'art. 67 al. 3 2ème phrase LEtr sont réunies et justifient le prononcé d'une mesure d'éloignement d'une durée nettement supérieure à cinq ans.</w:t>
      </w:r>
    </w:p>
    <w:p>
      <w:r>
        <w:rPr>
          <w:b/>
        </w:rPr>
        <w:t>E. 7.1</w:t>
      </w:r>
    </w:p>
    <w:p>
      <w:r>
        <w:t>Il reste à examiner si le prononcé d'une interdiction d'entrée d'une durée de 14 ans est conforme aux principes de la proportionnalité et de l'égalité de traitement.</w:t>
      </w:r>
    </w:p>
    <w:p>
      <w:r>
        <w:rPr>
          <w:b/>
        </w:rPr>
        <w:t>E. 7.2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7.3</w:t>
      </w:r>
    </w:p>
    <w:p>
      <w:r>
        <w:t>Préalablement, il convient de relever que l'impossibilité pour le recourant de résider durablement en Suisse ne résulte pas de la mesure d'éloignement litigieuse, mais découle du fait qu'il n'est plus titulaire d'un titre de séjour dans ce pays. En effet, par décision 8 mars 2011, le SMIG a refusé de prolonger l'autorisation de séjour de A._______ et a prononcé son renvoi de Suisse. Cette décision a été confirmée en dernière instance par arrêt du Tribunal fédéral du 14 mars 2016.</w:t>
      </w:r>
    </w:p>
    <w:p>
      <w:r>
        <w:rPr>
          <w:b/>
        </w:rPr>
        <w:t>E. 7.4</w:t>
      </w:r>
    </w:p>
    <w:p>
      <w:r>
        <w:t>Dans son recours, A._______ souligne que toute sa famille vit en Suisse, qu'il entretenait des relations étroites avec ses parents et ses deux soeurs, que ceux-ci avaient obtenu la nationalité helvétique, et qu'il avait passé l'essentiel de sa vie en Suisse, où il avait tissé des liens.</w:t>
      </w:r>
    </w:p>
    <w:p>
      <w:r>
        <w:rPr>
          <w:b/>
        </w:rPr>
        <w:t>E. 7.5</w:t>
      </w:r>
    </w:p>
    <w:p>
      <w:r>
        <w:t>Certes, le recourant dispose d'attaches familiales en Suisse. En effet, ses parents, et ses soeurs tous de nationalité suisse, y résident. L'intéressé ne saurait toutefois en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TF 2C_614/2013 du 28 mars 2014 consid. 3.1, 2C_546/2013 du 5 décembre 2013 consid. 4.1 et la jurisprudence citée). Or, force est de constater que le recourant est majeur, célibataire et sans enfant, et ne se trouve pas dans un état de dépendance (tel que défini par la jurisprudence susmentionnée) vis-à-vis de sa parenté vivant en Suisse. Par ailleurs, rien n'empêche l'intéressé de voir sa parenté hors de Suisse, par exemple au Kosovo. En particulier ses parents nés en 1962 et 1964 ne sont pas âgés et aucune pièce du dossier n'incite à penser qu'ils seraient en mauvaise santé. Enfin, en cas de nécessité, l'intéressé peut déposer ponctuellement une demande de visa pour la Suisse (cf. supra consid. 3.6 al. 2 ) et solliciter auprès du SEM la délivrance de sauf-conduits aux fins de se rendre temporairement en Suisse (cf. art. 67 al. 5 LEtr [cf. notamment arrêt du TF 2 C_238/2012 du 30 juillet 2012 consid. 4.3, arrêt du TAF F-7284/2014 du 12 octobre 2016 consid. 7.3 in fine]).</w:t>
      </w:r>
    </w:p>
    <w:p>
      <w:r>
        <w:rPr>
          <w:b/>
        </w:rPr>
        <w:t>E. 7.6</w:t>
      </w:r>
    </w:p>
    <w:p>
      <w:r>
        <w:t>Il convient par ailleurs de répéter qu'en cas d'infractions graves portant atteinte à des biens juridiques importants (telles la vie, l'intégrité corporelle et la santé), au nombre desquelles figurent notamment les infractions graves à la législation sur les stupéfiants (en particulier le trafic de drogue), les autorités helvétiques, se montrent particulièrement rigoureuses (cf. supra consid. 5.2). Aussi, dans de telles circonstances, un risque de récidive, même relativement faible, ne saurait en principe être toléré (cf. ATF 139 I 31 consid. 2.3.2, 139 I 16 consid. 2.2.1, 130 II 176 consid. 4.3.1 et réf. citées).</w:t>
      </w:r>
    </w:p>
    <w:p>
      <w:r>
        <w:rPr>
          <w:b/>
        </w:rPr>
        <w:t>E. 7.7</w:t>
      </w:r>
    </w:p>
    <w:p>
      <w:r>
        <w:t>En l'espèce, le risque de récidive s'avère au contraire très élevé. Les antécédents pénaux de A._______ (cf. consid. 6.2 ci-dessus) ainsi que son comportement en prison et durant sa libération conditionnelle, périodes durant lesquelles il a commis de nouvelles infractions, toujours plus graves, démontrent sa persistance à ne pas vouloir ou pouvoir se conformer à l'ordre juridique suisse. Il existe donc in casu un intérêt public majeur à ce que les entrées de l'intéressé en Suisse soient contrôlées pendant un nombre d'années important.</w:t>
      </w:r>
    </w:p>
    <w:p>
      <w:r>
        <w:rPr>
          <w:b/>
        </w:rPr>
        <w:t>E. 7.8</w:t>
      </w:r>
    </w:p>
    <w:p>
      <w:r>
        <w:t>Les seules circonstances qui pourraient plaider en faveur du recourant sont la durée de son séjour de 17 ans en Suisse et le fait d'y avoir été scolarisé. Toutefois, ces circonstances n'ont qu'une importance très limitée eu égard aux éléments précités qui parlent clairement en défaveur du recourant. Par ailleurs, A._______ ne peut se prévaloir d'une intégration réussie. Ainsi, s'il a entamé une formation élémentaire de serrurier-constructeur, il ne possède aucun certificat fédéral de capacité et n'a pratiquement pas exercé d'emploi en Suisse. Dès 2007, il a vécu essentiellement de l'aide sociale, et sa situation financière est obérée. Il s'impose dès lors de constater que, malgré la durée de son séjour en Suisse, l'intéressé a été dans l'incapacité de s'insérer dans ce pays et de s'y construire une existence honnête.</w:t>
      </w:r>
    </w:p>
    <w:p>
      <w:r>
        <w:rPr>
          <w:b/>
        </w:rPr>
        <w:t>E. 7.9</w:t>
      </w:r>
    </w:p>
    <w:p>
      <w:r>
        <w:t>En conséquence, après une pondération des intérêts publics et privés en présence et au regard de l'ensemble des circonstances, en particulier du nombre et de la gravité des crimes et délits commis par le recourant durant de nombreuses années, du prononcé de peines privatives de liberté d'une durée totale de 58 mois, de l'importance du risque de récidive que laisse redouter son lourd passé judiciaire, ainsi que son manque complet d'intégration, le Tribunal estime que la décision querellée n'est ni contraire au droit ni inopportune. Dès lors, sa durée - 14 ans - est justifiée. Cette durée s'inscrit par ailleurs dans la lignée de décisions dans des cas similaires et est donc conforme au principe de l'égalité de traitement.</w:t>
      </w:r>
    </w:p>
    <w:p>
      <w:r>
        <w:rPr>
          <w:b/>
        </w:rPr>
        <w:t>E. 8</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9</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