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F-7016/2015 vom 21. April 2017</w:t>
      </w:r>
    </w:p>
    <w:p>
      <w:r>
        <w:t>Bundesverwaltungsgericht, 2017-04-21, DE</w:t>
      </w:r>
    </w:p>
    <w:p>
      <w:r>
        <w:rPr>
          <w:b/>
        </w:rPr>
        <w:t xml:space="preserve">Quelle: </w:t>
      </w:r>
      <w:r>
        <w:t>https://mcp.opencaselaw.ch/entscheid/bvger_F-7016_2015</w:t>
      </w:r>
    </w:p>
    <w:p>
      <w:r>
        <w:t>FR: TAF F-7016/2015 du 21 avril 2017</w:t>
      </w:r>
    </w:p>
    <w:p>
      <w:r>
        <w:t>IT: TAF F-7016/2015 del 21 aprile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beanstandete der frühere Parteivertreter in seiner Beschwerdeschrift vom 2. November 2015, die Begründung der angefochtenen Verfügung sei äusserst knapp ausgefallen und stütze sich nicht auf Tatsachen ab. Damit rügt er - zumindest sinngemäss - eine Verletzung der Begründungspflicht (Art. 35 Abs. 1 VwVG). Diese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angesehen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w:t>
      </w:r>
    </w:p>
    <w:p>
      <w:r>
        <w:rPr>
          <w:b/>
        </w:rPr>
        <w:t>E. 3.2</w:t>
      </w:r>
    </w:p>
    <w:p>
      <w:r>
        <w:t>In der angefochtenen Verfügung hat das SEM die Rechtsgrundlagen erwähnt und die Straftaten aufgeführt, derentwegen es ein Einreiseverbot verhängte. Zum Hauptvorwurf des qualifizierten Verstosses gegen das Betäubungsmittelgesetz äusserte es sich, indem es entsprechende Passagen aus dem bundesgerichtlichen Urteil vom 5. Mai 2015 betr. Aufenthaltsbewilligung zitierte (vgl. Urteil 2C_614/2014, Akten der Vorinstanz [SEM act.] 101 - 111). Der in jenem Verfahren beurteilte Gesamtsachverhalt bildete die Grundlage für den Erlass einer Fernhaltemassnahme, womit dem Beschwerdeführer (er liess sich in beiden Verfahren durch denselben Anwalt vertreten) die Hauptgründe hierfür hinlänglich bekannt waren. Überdies legte die Vorinstanz kurz dar, weshalb sie noch für längere Zeit von einer negativen Gefährdungsprognose ausgehe und zeigte Alternativen zur Pflege der geltend gemachten familiären Beziehungen auf. Dem Beschwerdeführer war es denn problemlos möglich, sich wirksam in das Verfahren einzubringen und die Verfügung sachgerecht anzufechten. Der Vorwurf, sich nicht auf Tatsachen abgestützt zu haben, bildet derweil Gegenstand der materiell-rechtlichen Beurteilung. Der (sinngemässen) Rüge der Verletzung der Begründungspflicht ist demnach keine Folge zu geben.</w:t>
      </w:r>
    </w:p>
    <w:p>
      <w:r>
        <w:rPr>
          <w:b/>
        </w:rPr>
        <w:t>E. 4.1</w:t>
      </w:r>
    </w:p>
    <w:p>
      <w:r>
        <w:t>Landesrechtliche Grundlage der angefochtenen Verfügung vom 28. September 2015 bildet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eine Dauer von höchstens fünf Jahren verfügt, kann aber für eine längere Dauer angeordnet werden, wenn von der ausländischen Person eine schwerwiegende Gefahr für die öffentliche Sicherheit und Ordnung ausgeht (vgl. Art. 67 Abs. 3 zweiter Satz AuG; ferner BVGE 2014/20 E. 5).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C-988/2015 vom 29. Oktober 2015 E. 6.2 in fine m.H.).</w:t>
      </w:r>
    </w:p>
    <w:p>
      <w:r>
        <w:rPr>
          <w:b/>
        </w:rPr>
        <w:t>E. 4.3</w:t>
      </w:r>
    </w:p>
    <w:p>
      <w:r>
        <w:t>Die in Art. 67 Abs. 3 AuG statuierte Regelhöchstdauer eines Einreiseverbots beträgt fünf Jahre. Stellt die betroffene Person jedoch eine schwerwiegende Gefahr für die öffentliche Sicherheit und Ordnung dar, kann diese Dauer wie erwähnt überschritten werden. Allerdings kam das BVGer in BVGE 2014/20 zum Schluss, dass alle von der Vorinstanz verhängten Einreiseverbote zwingend auf eine bestimmte Zeitdauer zu befristen sind (E. 6.9). Weiter befasste sich das BVGer in diesem Urteil mit der Frage nach der Höchstdauer solcher Einreiseverbote und entschied, dass diese grundsätzlich fünfzehn Jahre beträgt; nur im Wiederholungsfall kann die Dauer zwanzig Jahre betragen (E. 7).</w:t>
      </w:r>
    </w:p>
    <w:p>
      <w:r>
        <w:rPr>
          <w:b/>
        </w:rPr>
        <w:t>E. 4.4</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SIS II-Verordnung sowie Art. 20 - 22a der Verordnung über den nationalen Teil des Schengener Informationssystems (N-SIS) und das SIRENE-Büro (N-SIS-Verordnung vom 8. März 2013 [SR 362.0]).</w:t>
      </w:r>
    </w:p>
    <w:p>
      <w:r>
        <w:rPr>
          <w:b/>
        </w:rPr>
        <w:t>E. 5</w:t>
      </w:r>
    </w:p>
    <w:p>
      <w:r>
        <w:t>Gemäss Auszug aus dem Schweizerischen Strafregister vom 28. September 2015 (SEM act. 100) wurde der Beschwerdeführer vom Regionalgericht Bern - Mittelland am 23. November 2011 des Verbrechens und der Übertretung gegen das Betäubungsmittelgesetz (BetmG, SR 812.121) für schuldig befunden, was eine Freiheitsstrafe von 32 Monaten (davon 25 Monate bedingt, unter Ansetzung einer Probezeit von zwei Jahren) nach sich zog. Nicht im Schweizerischen Strafregister figurieren die früheren Widerhandlungen gegen die Transportgesetzgebung und das Ausländergesetz (siehe dazu Sachverhalt Bst. a). Mit seiner Delinquenz hat der Beschwerdeführer ohne Zweifel gegen die öffentliche Sicherheit und Ordnung verstossen bzw. polizeiliche Schutzgüter gefährdet und damit einen Fernhaltegrund im Sinne von Art. 67 Abs. 2 Bst. a AuG gesetzt. Schwere Verstösse gegen die Betäubungsmittelgesetzgebung im In- und/oder Ausland werden gemäss geltender Praxis denn regelmässig mit mehr- bzw. langjährigen Fernhaltemassnahmen geahndet (vgl. dazu eingehender E. 6.5 weiter hinten). Die Voraussetzungen von Art. 67 Abs. 2 Bst. a AuG sind somit erfüllt.</w:t>
      </w:r>
    </w:p>
    <w:p>
      <w:r>
        <w:rPr>
          <w:b/>
        </w:rPr>
        <w:t>E. 6.1</w:t>
      </w:r>
    </w:p>
    <w:p>
      <w:r>
        <w:t>Das angefochtene Einreiseverbot gilt für eine Dauer von acht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6.2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3 erster Satz AuG genannte Höchstdauer von fünf Jahren überschreiten.</w:t>
      </w:r>
    </w:p>
    <w:p>
      <w:r>
        <w:rPr>
          <w:b/>
        </w:rPr>
        <w:t>E. 6.3</w:t>
      </w:r>
    </w:p>
    <w:p>
      <w:r>
        <w:t>Eine Störung der öffentlichen Sicherheit und Ordnung durch Drogendelikte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rechtlichen relevanten Gefahr im Sinne von Art. 67 Abs. 2 Bst. a AuG zugrunde liegt (vgl. etwa Urteil des BVGer F-7607/2015 vom 25. Juli 2016 E. 6.3 m.H.).</w:t>
      </w:r>
    </w:p>
    <w:p>
      <w:r>
        <w:rPr>
          <w:b/>
        </w:rPr>
        <w:t>E. 6.4</w:t>
      </w:r>
    </w:p>
    <w:p>
      <w:r>
        <w:t>Der Beschwerdeführer ist während seiner Anwesenheit hierzulande mehrere Male mit dem Gesetz in Konflikt geraten. Klar im Vordergrund steht die am 23. November 2011 im abgekürzten Verfahren abgeurteilte Drogendelinquenz. Laut dem Regionalgericht Bern - Mittelland hat er hierbei zwischen Oktober 2010 und März 2011 mit qualifizierten Mengen harter Drogen gehandelt. Zum Strafurteil liegt keine Urteilsbegründung vor. Den beigezogenen Akten ist jedoch zu entnehmen, dass der Beschwerdeführer während dieser Zeit grössere Mengen Kokain entgegengenommen und weiterverkauft hat. Nach Auffassung des Bundesgerichts im Verfahren betr. Nichtverlängerung der Aufenthaltsbewilligung hat er mit seinem Verhalten dadurch skrupellos die Gesundheit einer Vielzahl von Menschen gefährdet. Als besonders verwerflich erachtete es die Tatsache, dass er aus rein finanziellen Motiven handelte, ohne selbst drogenabhängig oder in einer Notlage zu sein (siehe Urteil 2C_614/2014 E. 4.2). Es besteht daher ein manifestes Interesse daran, den Betroffenen längerfristig von der Schweiz fernzuhalten.</w:t>
      </w:r>
    </w:p>
    <w:p>
      <w:r>
        <w:rPr>
          <w:b/>
        </w:rPr>
        <w:t>E. 6.5</w:t>
      </w:r>
    </w:p>
    <w:p>
      <w:r>
        <w:t>Bei der Frage, ob der Beschwerdeführer aktuell eine Gefährdung darstellt, kommt es wesentlich auf das Rückfallrisiko an. Die Straftaten, derentwegen er strafrechtlich zur Rechenschaft gezogen wurde, sprechen für eine besondere Tätergefährlichkeit, denn qualifizierte Widerhandlungen gegen das Betäubungsmittelgesetz haben nicht nur in Bezug auf den Kreis der Opfer, sondern auch angesichts ihrer räumlichen Ausbreitungsmöglichkeiten gravierende Auswirkungen (vgl. E. 6.2 hiervor). Gemäss bundesgerichtlicher Rechtsprechung, die im Einklang mit derjenigen des Europäischen Gerichtshofes für Menschenrechte (EGMR) steht, ist bei solchen Delikten ein strenger Massstab anzuwenden und selbst ein geringes Restrisiko weiterer Störungen nicht in Kauf zu nehmen (vgl. etwa BGE 139 I 145 E. 2.5, BGE 131 II 352 E. 4.3.1 und BGE 125 II 521 E. 4a oder Urteil des BGer 2C_282/2012 vom 31. Juli 2012 E. 2.5 je m.H.). Überdies dürfen bei Drittstaatsangehörigen auch generalpräventive Überlegungen miteinbezogen werden (Urteil des BGer 2C_373/2014 vom 20. Mai 2014 E. 2.1.1 m.H.).</w:t>
      </w:r>
    </w:p>
    <w:p>
      <w:r>
        <w:rPr>
          <w:b/>
        </w:rPr>
        <w:t>E. 6.6</w:t>
      </w:r>
    </w:p>
    <w:p>
      <w:r>
        <w:t>Der Beschwerdeführer lässt auf Beschwerdeebene hervorheben, dass ihm der teilbedingte Strafvollzug gewährt worden sei. Insofern könne eine ungünstige Prognose ausgeschlossen werden. In diesem Zusammenhang gilt es vorweg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Im Aufenthaltsverfahren hat das Verwaltungsgericht des Kantons Bern in seinem Urteil vom 21. Mai 2014 (vgl. SEM act. 52 - 68) ausgeführt, dass hinsichtlich der Schwere der Straftat und des Verschuldens auf die Bemessung der Freiheitsstrafe abzustellen sei. Gemäss bundesgerichtlicher Rechtsprechung sprächen Freiheitsstrafen ab 24 Monaten strafrechtlich für ein schweres Verschulden, da solche Fälle bereits als so gravierend eingestuft würden, dass ein vollständiger Aufschub der Strafe nicht mehr in Frage komme. Angesichts des Strafmasses von 32 Monaten Freiheitsstrafe ist selbstredend auch ausländerrechtlich von einem schwerwiegenden Verstoss gegen die Rechtsordnung auszugehen. Die Bedeutung des teilweisen Aufschubs der Freiheitsstrafe beschränkt sich derweil auf die Prognose des Strafrichters, ob sich der Betroffene zukünftig bewähren werde. Das - wie eben dargetan fortbestehende - öffentliche Fernhalteinteresse wäre hier folglich noch höher zu veranschlagen, wenn dem Beschwerdeführer der teilbedingte Vollzug der Freiheitsstrafe gänzlich verwehrt würde, da der Strafrichter diesfalls eine negative Bewährungsprognose hätte stellen müssen (vgl. hierzu Urteil des BVGer F-7574/2015 vom 19. Januar 2017 E. 6.2).</w:t>
      </w:r>
    </w:p>
    <w:p>
      <w:r>
        <w:rPr>
          <w:b/>
        </w:rPr>
        <w:t>E. 6.7</w:t>
      </w:r>
    </w:p>
    <w:p>
      <w:r>
        <w:t>Auf eine günstige Prognose schliesst der frühere Parteivertreter ebenfalls, weil die gravierendste Delinquenz zum Zeitpunkt des Erlasses der an-gefochtenen Verfügung bereits fünf Jahre zurücklag. Für die Berechnung der Dauer des klaglosen Verhaltens ist allerdings nicht auf den Begehungs- oder Urteilszeitpunkt abzustellen. Von vorrangiger Bedeutung erscheint stattdessen, wie lange sich eine straffällig gewordene Person nach ihrer Entlassung aus der Haft in Freiheit bewährt hat (vgl. BVGE 2014/20 E. 5.4 m.H.). Praxisgemäss kommt dem Wohlverhalten während des Strafvollzugs und der strafrechtlichen Probezeit (die bis zum 23. November 2013 dauerte) sodann nur untergeordnete Bedeutung zu. Dennoch kann dem Beschwerdeführer das Verhalten seit der Entlassung aus dem vorzeitigen Strafantritt (7. November 2011) - jedenfalls im dargelegten Rahmen - positiv angerechnet werden. Hinsichtlich der Rückfallgefahr trotz Zeitablaufes nicht völlig ausser Acht gelassen werden können andererseits die Vorstrafen. Wohl handelt es sich diesbezüglich nicht um schwerwiegende Widerhandlungen (im Einzelnen siehe EMF der Stadt Bern act. 52/53, 79/80, 83/84 sowie 99 - 104), weswegen entgegen der Darstellung in der angefochtenen Verfügung nicht von wiederholten Verstössen gegen hochwertige Rechtsgüter ausgegangen werden kann. Gleichwohl spricht die Häufung solcher Widerhandlungen (wovon eine mit einer bedingten 20-tägigen Gefängnisstrafe und einer Busse geahndet wurde) für eine phasenweise Geringschätzung der Rechtsordnung (dazu wiederum Urteil 2C_614/2014 E. 4.2). Nichts zu seinen Gunsten abzuleiten vermag der Beschwerdeführer in dieser Hinsicht ausserdem mit Blick auf die Beziehung zu seiner Tochter. Mit Kokain handelte er nämlich zwischen Oktober 2010 und März 2011, mit anderen Worten vermochte ihn weder die Verantwortung als Vater noch diejenige als Ehemann (die Familie war damals noch intakt) davon abzuhalten, gleich über mehrere Monate hinweg im Drogengeschäft tätig zu sein. Aufgrund dessen kann eine schwerwiegende Rückfallgefahr im Sinne von Art. 67 Abs. 3 zweiter Satz AuG nach wie vor nicht als gebannt betrachtet werden.</w:t>
      </w:r>
    </w:p>
    <w:p>
      <w:r>
        <w:rPr>
          <w:b/>
        </w:rPr>
        <w:t>E. 6.8</w:t>
      </w:r>
    </w:p>
    <w:p>
      <w:r>
        <w:t>Damit ist festzustellen, dass der Beschwerdeführer zum heutigen Zeitpunkt noch eine schwerwiegende Gefahr für die öffentliche Sicherheit und Ordnung darstellt. Das gegen ihn verhängte Einreiseverbot darf damit die Dauer von fünf Jahren gemäss Art. 67 Abs. 3 AuG überschreiten.</w:t>
      </w:r>
    </w:p>
    <w:p>
      <w:r>
        <w:rPr>
          <w:b/>
        </w:rPr>
        <w:t>E. 7.1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Vom Beschwerdeführer geht wie dargetan (vgl. E. 6.4 - 6.7) eine schwerwiegende Gefahr für die öffentliche Sicherheit und Ordnung in einem besonders sensiblen Bereich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Massnahmepraxis zu schützen (vgl. BVGE 2014/20 E. 8.2 m.H.).</w:t>
      </w:r>
    </w:p>
    <w:p>
      <w:r>
        <w:rPr>
          <w:b/>
        </w:rPr>
        <w:t>E. 7.3</w:t>
      </w:r>
    </w:p>
    <w:p>
      <w:r>
        <w:t>Den vorstehenden öffentlichen Interessen stellt der Beschwerdeführer sein privates Interesse an möglichst ungehinderten persönlichen Kontakten zu ihm nahe stehenden, in der Schweiz lebenden Personen (zweite Ehefrau, Kind aus erster Ehe) gegenüber. Auch die jetzige Gattin legt den Fokus in der Replik vom 26. Januar 2017 auf die familiäre Situation und beruft sich damit implizit auf das in Art 8 EMRK und Art. 13 BV verankerte Recht auf Familienleben.</w:t>
      </w:r>
    </w:p>
    <w:p>
      <w:r>
        <w:rPr>
          <w:b/>
        </w:rPr>
        <w:t>E. 7.4</w:t>
      </w:r>
    </w:p>
    <w:p>
      <w:r>
        <w:t>Hervorzuheben ist an dieser Stelle zunächst,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der rechtskräftigen Nichtverlängerung der Aufenthaltsbewilligung im Oktober 2015 verlassen. Im Folgenden stellt sich daher einzig die Frage, ob die über die Verweigerung des Aufenthaltsrechts hinausgehende, durch das Einreiseverbot zusätzlich bewirkte Erschwernis, nicht zuletzt mit Blick auf das Kindeswohl, vor Art. 8 Ziff. 1 EMRK und Art. 13 Abs. 1 BV standhält (vgl. zum Ganzen auch BVGE 2013/4 E. 7.4.1 und 7.4.2).</w:t>
      </w:r>
    </w:p>
    <w:p>
      <w:r>
        <w:rPr>
          <w:b/>
        </w:rPr>
        <w:t>E. 7.5</w:t>
      </w:r>
    </w:p>
    <w:p>
      <w:r>
        <w:t>Der Pflege der familiären Beziehungen auf Schweizer Boden steht wie eben erwähnt nicht die angefochtene Verfügung, sondern die fehlende Aufenthaltsbewilligung entgegen. Das Einreiseverbot als solches beeinträchtigt das Interesse des Beschwerdeführers an einem von staatlichen Eingriffen ungestörten Familienleben nur soweit, als er eine Suspension einholen muss (Art. 67 Abs. 5 AuG). Wohl wird die Suspension praxisgemäss nur für eine kurze und klar begrenzte Zeit gewährt und sie darf das Einreiseverbot nicht aushöhlen; die damit verbundenen bzw.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 Dass das SEM Suspensionsgesuche entgegen der Behauptung in der Beschwerdeschrift vom 2. November 2015 zeitgerecht behandelt, zeigt die am 10. Februar 2017 ausgestellte Suspensionsverfügung, mit welcher dem Beschwerdeführer vom 24. März 2017 bis 9. April 2017 ein Besuch bei seiner neuen Ehefrau erlaubt wird (vgl. BVGer act. 24).</w:t>
      </w:r>
    </w:p>
    <w:p>
      <w:r>
        <w:rPr>
          <w:b/>
        </w:rPr>
        <w:t>E. 7.6</w:t>
      </w:r>
    </w:p>
    <w:p>
      <w:r>
        <w:t>Daneben ist es den Betroffenen zuzumuten, die Kontakte untereinander mittels moderner Kommunikationsmittel (SMS, WhatsApp, Telefon, Skype, Facebook, usw.) zu pflegen oder sich ausserhalb der Schweiz (und der übrigen Schengen-Staaten) zu treffen. Das verfassungs- und konventionsrechtlich garantierte Recht auf Achtung des Familienlebens vermittelt ohnehin keinen Anspruch auf freie Wahl des für das Familienleben am geeignetsten erscheinenden Ortes (BGE 137 I 247 E. 4.1.1 m.H.). Des Weiteren wird nochmals an die Tatsache erinnert, dass der Beschwerdeführer im Herbst/Winter 2010/11 ohne Rücksicht auf das Wohl seiner Tochter aus erster Ehe mit Kokain handelte. Der jetzigen Gattin wiederum musste aufgrund des Urteils des Regionalgerichts Bern - Mittelland vom 23. November 2011 sowie des verweigernden Aufenthaltsverfahrens bewusst sein, dass sie mit ihm kurz- und mittelfristig nicht würde in der Schweiz zusammenleben können. Die sich daraus ergebenden Konsequenzen, insbesondere die Erschwerung der familiären Kontakte auf Schweizer Boden und Schengener Gebiet, hat sie gegen sich gelten zu lassen.</w:t>
      </w:r>
    </w:p>
    <w:p>
      <w:r>
        <w:rPr>
          <w:b/>
        </w:rPr>
        <w:t>E. 7.7</w:t>
      </w:r>
    </w:p>
    <w:p>
      <w:r>
        <w:t>Bei der hier vorzunehmenden Interessenabwägung Rechnung zu tragen ist, wie angetönt, schliesslich den Beziehungen des Beschwerdeführers zu seinem im Mai 2008 geborenen Kind aus erster Ehe. Dass dem so ist, ist in erster Linie der vorrangigen Bedeutung des Kindeswohls geschuldet (vgl. dazu BVGE 2014/20 E. 8.3.6 oder BGE 135 I 153 E. 2.2.2 m.H.). Das Kindesinteresse, mit beiden Elternteilen Kontakte zu pflegen, bildet dennoch nur einen Gesichtspunkt unter anderen, den es miteinzubeziehen gilt (vgl. Art. 3 Abs. 1 des Übereinkommens vom 20. November 1989 über die Rechte des Kindes [KRK, SR 0.107]) und geniesst keinen absoluten Vorrang. Im Übrigen lebt der Beschwerdeführer seit dem Frühjahr 2011 von der Mutter der gemeinsamen Tochter und dem Kind getrennt. Dieses steht unter der Obhut der Mutter. Soweit bekannt, wurde das Sorgerecht im Scheidungsurteil vom 29. Juli 2015 wie bis anhin bei beiden Elternteilen belassen. Somit konnte der persönliche Umgang mit dem Kind schon bisher nur reduziert und in Abstimmung mit der Mutter gepflegt werden. Anzumerken wäre an dieser Stelle, dass der Beschwerdeführer seinen Verpflichtungen in Bezug auf die Kinderunterhaltsbeiträge zeitweise nicht nachkam, weshalb diese bevorschusst werden mussten (vgl. act. 391 der Akten des MIDI). Im Kontext der vorangehenden Ausführungen vermag besagtes privates Interesse das öffentliche Interesse an seiner Fernhaltung mithin selbst unter besonderer Berücksichtigung seiner Beziehung zur Tochter nicht entscheidend zurückzudrängen.</w:t>
      </w:r>
    </w:p>
    <w:p>
      <w:r>
        <w:rPr>
          <w:b/>
        </w:rPr>
        <w:t>E. 7.8</w:t>
      </w:r>
    </w:p>
    <w:p>
      <w:r>
        <w:t>Eine wertende Gewichtung der sich gegenüberstehenden öffentlichen und privaten Interessen führt das Bundesverwaltungsgericht zum Ergebnis, dass das gegen den Beschwerdeführer verhängte Einreiseverbot dem Grundsatz nach zwar zu bestätigen ist, die von der Vorinstanz auf acht Jahre festgelegte Dauer jedoch als unverhältnismässig erscheint. Für das Bundesverwaltungsgericht ist in diesem Zusammenhang vor allem von Bedeutung, dass der Beschwerdeführer nach 2005 nur eine gravierende Straftat begangen hat (keine wiederholten Verstössen gegen hochwertige Rechtsgüter bzw. nur eine Verurteilung wegen BetmG-Delikten) und er sich seit der Entlassung aus dem Strafvollzug im November 2011 nichts mehr zu Schulden kommen liess. Zudem liegt die letzte Straftat unterdessen rund sechs Jahre zurück. Hinzu kommen das Kindeswohl und die aktuelle familiäre Situation. Das Bundesverwaltungsgericht erachtet es daher als angezeigt, das Einreiseverbot auf sechs Jahre zu befristen. Damit wird den auf dem Spiel stehenden öffentlichen und privaten Interessen hinreichend Rechnung getragen.</w:t>
      </w:r>
    </w:p>
    <w:p>
      <w:r>
        <w:rPr>
          <w:b/>
        </w:rPr>
        <w:t>E. 8</w:t>
      </w:r>
    </w:p>
    <w:p>
      <w:r>
        <w:t>Es ist angesichts der abgeurteilten Delinquenz des Beschwerdeführers (Art. 24 Ziff. 2 Bst. a SIS-II-Verordnung) nicht zu beanstanden (und wird vom Beschwerdeführer auch nicht gerügt), dass die Vorinstanz die Ausschreibung des Einreiseverbots im SIS II angeordnet hat (vgl. dazu auch E. 4.4 hiervor). Sie hat für die nunmehr reduzierte Dauer weiterhin Geltung. Mit Verweis auf die vorangegangenen Ausführungen ist ein überwiegendes öffentliches Interesse nicht nur der Schweiz, sondern sämtlicher Schengen-Staaten an der längerfristigen Fernhaltung des Beschwerdeführers gegeben.</w:t>
      </w:r>
    </w:p>
    <w:p>
      <w:r>
        <w:rPr>
          <w:b/>
        </w:rPr>
        <w:t>E. 9</w:t>
      </w:r>
    </w:p>
    <w:p>
      <w:r>
        <w:t>Aus diesen Erwägungen folgt, dass das für die Dauer von acht Jahren ausgesprochene Einreiseverbot Bundesrecht verletzt (vgl. Art. 49 VwVG). Die Beschwerde ist deshalb teilweise gutzuheissen und das gegen den Beschwerdeführer verhängte Einreiseverbot auf sechs Jahre, bis zum 9. Oktober 2021, zu befristen.</w:t>
      </w:r>
    </w:p>
    <w:p>
      <w:r>
        <w:rPr>
          <w:b/>
        </w:rPr>
        <w:t>E. 10.1</w:t>
      </w:r>
    </w:p>
    <w:p>
      <w:r>
        <w:t>Entsprechend dem Ausgang des Verfahrens wären die reduzierten Verfahrenskosten dem Beschwerdeführer aufzuerlegen (Art. 63 Abs. 1 VwVG sowie Art. 1 ff. der Reglements vom 21. Februar 2008 über die Kosten und Entschädigungen vor dem Bundesverwaltungsgericht [VGKE, SR 173.320.2]). Der frühere Rechtsvertreter ersuchte jedoch um Gewährung der unentgeltlichen Rechtsverbeiständung (Art. 65 Abs. 1 und 2 VwVG). In der verfahrensleitenden Anordnung des Bundesverwaltungsgerichts vom 17. November 2016 wurde der Entscheid darüber auf einen späteren Zeitpunkt verschoben,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 notwendig sind (BGE 128 I 225 E. 2.5.1 m.H.). Den entsprechenden Gesuchsunterlagen zufolge (siehe Beilage zu BVGer act. 4) verzeichnet der Beschwerdeführer weder Einnahmen noch Auslagen. Seine Ehefrau erwirtschaftet nach Berechnung des Notbedarfs derweil einen monatlichen Überschuss von rund Fr. 1'400.-. Ein solcher Überschuss reicht vorliegend aus, um neben den Lebenshaltungskosten auch noch die Kosten dieses Verfahrens zu tragen. Die Voraussetzungen von Art. 65 Abs. 1 VwVG sind somit mangels Bedürftigkeit nicht erfüllt, weshalb dem Gesuch um Gewährung der unentgeltlichen Rechtspflege nicht stattzugeben ist.</w:t>
      </w:r>
    </w:p>
    <w:p>
      <w:r>
        <w:rPr>
          <w:b/>
        </w:rPr>
        <w:t>E. 10.3</w:t>
      </w:r>
    </w:p>
    <w:p>
      <w:r>
        <w:t>Im Umfang seines Obsiegens ist dem Beschwerdeführer eine gekürzte Parteientschädigung zuzusprechen (Art. 64 Abs. 1 VwVG i.V.m. Art. 7 ff. VGKE). Weil der frühere Rechtsvertreter mit der Mandatsniederlegung keine Kostennote vorgelegt hat, ist über die Höhe der Entschädigung aufgrund der Akten zu entscheiden (Art. 14 Abs. 2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