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F-7015/2023 vom 24. Oktober 2024</w:t>
      </w:r>
    </w:p>
    <w:p>
      <w:r>
        <w:t>Bundesverwaltungsgericht, 2024-10-24, FR</w:t>
      </w:r>
    </w:p>
    <w:p>
      <w:r>
        <w:rPr>
          <w:b/>
        </w:rPr>
        <w:t xml:space="preserve">Quelle: </w:t>
      </w:r>
      <w:r>
        <w:t>https://mcp.opencaselaw.ch/entscheid/bvger_F-7015_2023</w:t>
      </w:r>
    </w:p>
    <w:p>
      <w:r>
        <w:t>FR: TAF F-7015/2023 du 24 octobre 2024</w:t>
      </w:r>
    </w:p>
    <w:p>
      <w:r>
        <w:t>IT: TAF F-7015/2023 del 24 ottobre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 1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TF 1C_214/2015 du 6 novembre 2015 consid. 2.2.2). Aussi peut-elle admettre ou rejeter le pourvoi pour d'autres motifs que ceux invoqués. Dans son arrêt, elle prend</w:t>
      </w:r>
    </w:p>
    <w:p>
      <w:r>
        <w:t>F-7015/2023 Page 4 en considération l'état de fait existant au moment où elle statue (ATAF 2014/1 consid. 2).</w:t>
      </w:r>
    </w:p>
    <w:p>
      <w:r>
        <w:rPr>
          <w:b/>
        </w:rPr>
        <w:t>E. 3.1</w:t>
      </w:r>
    </w:p>
    <w:p>
      <w:r>
        <w:t>Conformément à l’art. 5 al. 1 LEI (RS 142.20),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 RS 311.0) ou 49a ou 49abis du Code pénal militaire du 13 juin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une période de 180 jours), l'art. 3 al. 1 de l’ordonnance fédérale du 15 août 2018 sur l’entrée et l’octroi de visas (OEV ;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largement avec celui de l’art. 5 al. 1 LEI précité (cf., entre autres, arrêt du TAF F-4089/2021 du 22 avril 2022 consid. 3.1 et les références citées),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 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Schengen précise, quant à lui, que la date d'entrée est considérée comme le premier jour de séjour sur le territoire des Etats membres et que la date de sortie est considérée comme le dernier jour de séjour sur le territoire des Etats membres.</w:t>
      </w:r>
    </w:p>
    <w:p>
      <w:r>
        <w:t>F-7015/2023 Page 5</w:t>
      </w:r>
    </w:p>
    <w:p>
      <w:r>
        <w:rPr>
          <w:b/>
        </w:rPr>
        <w:t>E. 3.2</w:t>
      </w:r>
    </w:p>
    <w:p>
      <w:r>
        <w:t>En l’espèce, la recourante, ressortissante érythréenne, avait l’obligation de posséder un visa pour entrer sur le territoire des Etats Schengen, obligation qu’elle remplissait à son arrivée le 3 avril 2023.</w:t>
      </w:r>
    </w:p>
    <w:p>
      <w:r>
        <w:rPr>
          <w:b/>
        </w:rPr>
        <w:t>E. 4.1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4.3</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w:t>
      </w:r>
    </w:p>
    <w:p>
      <w:r>
        <w:t>F-7015/2023 Page 6</w:t>
      </w:r>
    </w:p>
    <w:p>
      <w:r>
        <w:rPr>
          <w:b/>
        </w:rPr>
        <w:t>E. 4.4</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4.5</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 après : Message LEtr], FF 2002 3469, 3564).</w:t>
      </w:r>
    </w:p>
    <w:p>
      <w:r>
        <w:rPr>
          <w:b/>
        </w:rPr>
        <w:t>E. 4.6</w:t>
      </w:r>
    </w:p>
    <w:p>
      <w:r>
        <w:t>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w:t>
      </w:r>
    </w:p>
    <w:p>
      <w:r>
        <w:rPr>
          <w:b/>
        </w:rPr>
        <w:t>E. 4.7</w:t>
      </w:r>
    </w:p>
    <w:p>
      <w:r>
        <w:t>En l’espèce, l’autorité inférieure a retenu à l’appui de sa décision d’interdiction d’entrée d’une durée de deux ans du 19 septembre 2023 que la recourante avait attenté à la sécurité et à l’ordre publics en séjournant illégalement dans l’Espace Schengen pour une période de 57 jours supplémentaires après l’expiration de son visa.</w:t>
      </w:r>
    </w:p>
    <w:p>
      <w:r>
        <w:rPr>
          <w:b/>
        </w:rPr>
        <w:t>E. 4.8</w:t>
      </w:r>
    </w:p>
    <w:p>
      <w:r>
        <w:t>Dans son mémoire de recours, l’intéressée a fait valoir qu’elle s’était fiée aux informations données par l’ambassade italienne à Asamara selon lesquelles le visa aurait été valable pour une durée de six mois consécutifs. La mesure d’interdiction d’entrée serait par ailleurs disproportionnée selon elle, le dépassement de la durée autorisée du séjour s’expliquant par la grossesse difficile de sa fille et la naissance prématurée de ses petites-</w:t>
      </w:r>
    </w:p>
    <w:p>
      <w:r>
        <w:t>F-7015/2023 Page 7 filles. Enfin, elle aurait toujours respecté la durée des visas qui lui avaient été octroyés lors de ses précédents voyages en Europe.</w:t>
      </w:r>
    </w:p>
    <w:p>
      <w:r>
        <w:rPr>
          <w:b/>
        </w:rPr>
        <w:t>E. 5</w:t>
      </w:r>
    </w:p>
    <w:p>
      <w:r>
        <w:t>Il s’agit d’examiner, en premier lieu, si le prononcé d’une interdiction d’entrée à l’endroit de la recourante est justifié dans son principe.</w:t>
      </w:r>
    </w:p>
    <w:p>
      <w:r>
        <w:rPr>
          <w:b/>
        </w:rPr>
        <w:t>E. 5.1</w:t>
      </w:r>
    </w:p>
    <w:p>
      <w:r>
        <w:t>Le Tribunal constate que la recourante ne conteste pas avoir dépassé de 57 jours la durée de validité de son séjour sur le territoire des Etats Schengen. Elle ne s’est d’ailleurs pas opposée à l’ordonnance pénale, désormais entrée en force (cf. let. B. supra), prononcée à son encontre le 3 novembre 2023.</w:t>
      </w:r>
    </w:p>
    <w:p>
      <w:r>
        <w:rPr>
          <w:b/>
        </w:rPr>
        <w:t>E. 5.2</w:t>
      </w:r>
    </w:p>
    <w:p>
      <w:r>
        <w:t>Il ressort de ce qui précède que la recourante a indéniablement attenté à l’ordre et à la sécurité publics au sens de l’art. 77a al. 1 OASA. En effet, le seul fait d’entrer, de séjourner et/ou de travailler en Suisse sans autorisation constitue déjà une violation grave des prescriptions en droit des étrangers justifiant le prononcé d’une mesure d’éloignement à l’encontre de la personne étrangère concernée. A cet égard, il convient également de rappeler que, bien que la majorité du comportement délictuel de la recourante ait eu lieu en Allemagne, il appartient à la Suisse, dans le cadre de l'application des règles de Schengen, de préserver les intérêts de tous les Etats parties aux Accords d'association à Schengen (ATAF 2011/48 consid. 6.1). La recourante se devait, en effet, de respecter la législation en vigueur, ce qu'elle n'a manifestement pas fait, étant rappelé que la méconnaissance ou la mésinterprétation de la réglementation en matière de visa ou de séjour ne constitue pas un motif de renonciation au prononcé d'une mesure d'éloignement (cf., notamment, arrêts du TAF F-80/2020 du 31 mai 2021 consid. 7.3 ; F-942/2019 précité consid. 5.3 ; F-6748/2017, F-6753/2017 précité consid. 4.3). Par ailleurs, une interdiction d’entrée n’est pas une peine sanctionnant un comportement déterminé, mais une mesure administrative de prévention (cf. consid. 4.4 supra). Aussi, le fait que la recourante ait déjà été sanctionnée pénalement n’empêchait pas le SEM de prononcer une interdiction d’entrée, cette mesure administrative étant complémentaire (cf., en matière d’expulsion pénale, ATF 146 IV 311 consid. 3.7 ; arrêt du TF 6B_627/2018 du 22 mars 2019 consid. 1.3.2 in fine).</w:t>
      </w:r>
    </w:p>
    <w:p>
      <w:r>
        <w:rPr>
          <w:b/>
        </w:rPr>
        <w:t>E. 5.3</w:t>
      </w:r>
    </w:p>
    <w:p>
      <w:r>
        <w:t>Les faits établis n’étant pas contestés, le Tribunal est amené à conclure que l'interdiction d'entrée prononcée le 19 septembre 2023 en application de l'art. 67 al. 1 let. c LEI est justifiée dans son principe.</w:t>
      </w:r>
    </w:p>
    <w:p>
      <w:r>
        <w:t>F-7015/2023 Page 8</w:t>
      </w:r>
    </w:p>
    <w:p>
      <w:r>
        <w:rPr>
          <w:b/>
        </w:rPr>
        <w:t>E. 6</w:t>
      </w:r>
    </w:p>
    <w:p>
      <w:r>
        <w:t>Cela étant, il convient encore de vérifier si la mesure d’éloignement prononcée par l’autorité inférieure pour une durée de deux ans est conforme au principe de proportionnalité.</w:t>
      </w:r>
    </w:p>
    <w:p>
      <w:r>
        <w:rPr>
          <w:b/>
        </w:rPr>
        <w:t>E. 6.1</w:t>
      </w:r>
    </w:p>
    <w:p>
      <w:r>
        <w:t>Pour déterminer concrètement si la durée de l'interdiction d'entrée litigieuse est proportionnée, il s’agit encore de procéder à la pesée des intérêts en présence, à savoir d'un côté l'intérêt privé de la recourante à pouvoir entrer librement sur le territoire suisse, et d'un autre côté, l'intérêt public à la tenir éloignée afin de protéger l'ordre et la sécurité publics.</w:t>
      </w:r>
    </w:p>
    <w:p>
      <w:r>
        <w:rPr>
          <w:b/>
        </w:rPr>
        <w:t>E. 6.2</w:t>
      </w:r>
    </w:p>
    <w:p>
      <w:r>
        <w:t>En l'espèce, s'agissant de l'intérêt public, il est à noter que l'interdiction d'entrée prononcée à l'encontre de la recourante est une mesure administrative de contrôle qui tend à la tenir éloignée de Suisse et de l'Espace Schengen où elle a excédé de 57 jours la durée de son séjour autorisé. Il en va de l'intérêt de l'Etat à voir respectés l'ordre établi et la législation en vigueur (cf. arrêt du TAF C-183/2014 du 21 janvier 2016 consid. 5.2 et la jurisprudence citée).</w:t>
      </w:r>
    </w:p>
    <w:p>
      <w:r>
        <w:rPr>
          <w:b/>
        </w:rPr>
        <w:t>E. 6.3</w:t>
      </w:r>
    </w:p>
    <w:p>
      <w:r>
        <w:t>L'interdiction d'entrée d'un étranger n'étant toutefois pas considérée comme une peine sanctionnant un comportement déterminé, mais comme une mesure ayant notamment pour but de prévenir une atteinte à la sécurité et à l'ordre publics (cf. consid. 4.4 et 5.2 supra), le prononcé d'une telle interdiction doit donc être en rapport avec la présence d'un risque qu'une atteinte à la sécurité et à l'ordre publics soit commise à l'avenir.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de poids permettant de penser qu'une atteinte sera commise à l'avenir (cf. notamment l'arrêt du TAF C-183/2014 consid. 3.3.1 et les arrêts cités). Le risque de récidive constitue l'élément central en présence de ressortissants d'Etats parties à l'ALCP ; ce critère a une portée moindre en présence de ressortissants d'Etat tiers comme en l'espèce, à l’égard desquels des considérations préventives générales peuvent, en particulier, être prises en compte (cf. arrêt du TAF C-1542/2015 du 27 janvier 2016 consid. 3.2 et les références citées ; cf. aussi arrêt du TAF F-2409/2017 du 29 mai 2018 consid. 5.2 et arrêt du TF 2C_282/2012 du 31 juillet 2012 consid. 2.5).</w:t>
      </w:r>
    </w:p>
    <w:p>
      <w:r>
        <w:t>F-7015/2023 Page 9 Dans la présente cause, il y a lieu de relever qu’il ne ressort pas du dossier que le fait reproché à l’intéressée ait été accompagné ou précédé d’une autre infraction.</w:t>
      </w:r>
    </w:p>
    <w:p>
      <w:r>
        <w:rPr>
          <w:b/>
        </w:rPr>
        <w:t>E. 6.4</w:t>
      </w:r>
    </w:p>
    <w:p>
      <w:r>
        <w:t>Quant à l’intérêt privé de la recourante, cette dernière se prévaut de la relation qu’elle entretient avec ses proches, à savoir sa fille, l’époux de cette dernière et leurs filles, qui résident en Allemagne. Elle argumente encore que le dépassement de la durée légale de son séjour est dû aux complications survenues en fin de grossesse de sa fille et à la naissance prématurée de ses petites-filles. Enfin, elle allègue, en particulier au vu de son âge avancé, qu’une interdiction d’entrée d’une durée de deux ans l’empêcherait de participer à l’éducation de ses petits-enfants.</w:t>
      </w:r>
    </w:p>
    <w:p>
      <w:r>
        <w:rPr>
          <w:b/>
        </w:rPr>
        <w:t>E. 6.5</w:t>
      </w:r>
    </w:p>
    <w:p>
      <w:r>
        <w:t>A ce titre, la protection conférée par l’art. 8 CEDH, non évoquée par la recourante, n’est en principe applicable en tant que telle qu’aux relations entre parents et enfants mineurs (cf. ATF 140 I 77 consid. 5.2 et ATF 137 I 113 consid. 6.1), ce qui n’est pas le cas en l’espèce. La mesure d’éloignement prononcée à l'encontre de la recourante ne constitue au demeurant pas un obstacle insurmontable au maintien desdites relations familiales, dans la mesure où mère, fille et petits-enfants peuvent se rencontrer hors de l’Espace Schengen. Nonobstant les considérations qui précèdent, il ressort toutefois qu’un intérêt privé existe à l’endroit de la recourante à une levée ou diminution de l’interdiction d’entrée dans l’Espace Schengen. En effet, cet intérêt privé s’impose dans la mesure où le but principal du séjour de la recourante dans l’Espace Schengen consistait à accompagner sa fille dans sa grossesse difficile et à mettre son expérience d’infirmière et d’éducatrice de la petite enfance au profit de ses petites-filles dont la santé est fragile en raison de leur naissance prématurée.</w:t>
      </w:r>
    </w:p>
    <w:p>
      <w:r>
        <w:rPr>
          <w:b/>
        </w:rPr>
        <w:t>E. 6.6</w:t>
      </w:r>
    </w:p>
    <w:p>
      <w:r>
        <w:t>Après pondération des intérêts publics et privés, le Tribunal considère que l’interdiction d’entrée contestée est une mesure nécessaire et adéquate afin de prévenir toute nouvelle atteinte à la sécurité et à l’ordre publics en Suisse. Toutefois la durée de la mesure – fixée en l’occurrence à deux ans – apparaît excessive, notamment au regard des décisions prises par les autorités dans des cas analogues (cf., notamment, arrêts du TAF F-572/2021 du 21 septembre 2021 consid. 5 [overstay de 328 jours], F-906/2021 du 3 novembre 2022 consid. 4.3 [overstay de 257 jours], F-3733/2021 du 30 septembre 2022 consid. 7.2 [overstay de 194 jours], F-1921/2021 du 28 février 2022E. 5.2 [overstay de 172 jours). Elle induit en effet une limitation disproportionnée de l’intérêt privé de l’intéressée au</w:t>
      </w:r>
    </w:p>
    <w:p>
      <w:r>
        <w:t>F-7015/2023 Page 10 vu de l’absence d’infractions commises par le passé et des raisons expliquant le dépassement de la durée du séjour autorisé. Il convient par conséquent de réduire d’environ un an la durée de la mesure d’éloignement et ainsi de limiter les effets de celle-ci jusqu’au jour du présent arrêt.</w:t>
      </w:r>
    </w:p>
    <w:p>
      <w:r>
        <w:rPr>
          <w:b/>
        </w:rPr>
        <w:t>E. 7</w:t>
      </w:r>
    </w:p>
    <w:p>
      <w:r>
        <w:t>Il reste à examiner la validité de l'inscription de l’interdiction d'entrée dans le SIS ordonnée par le SEM.</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t>F-7015/2023 Page 11</w:t>
      </w:r>
    </w:p>
    <w:p>
      <w:r>
        <w:rPr>
          <w:b/>
        </w:rPr>
        <w:t>E. 7.2</w:t>
      </w:r>
    </w:p>
    <w:p>
      <w:r>
        <w:t>En l’espèce, le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 (cf. consid. 5.2 supra). Toutefois, dès lors que le Tribunal a été amené à limiter la durée de l’interdiction d’entrée au jour du présent arrêt, le signalement de l’intéressée au SIS II devra être supprimé sans délai par l’autorité inférieure (art. 34 par. 2 SIS II ; sur la possibilité de traiter de l’inscription au SIS indépendamment du prononcé d’une interdiction d’entrée, cf. notamment l’arrêt du TAF F-465/2017 du 12 mars 2019 consid. 4).</w:t>
      </w:r>
    </w:p>
    <w:p>
      <w:r>
        <w:rPr>
          <w:b/>
        </w:rPr>
        <w:t>E. 8.1</w:t>
      </w:r>
    </w:p>
    <w:p>
      <w:r>
        <w:t>Le recours est en conséquence partiellement admis et la décision du SEM du 19 septembre 2023 est réformée, en ce sens que les effets de l'interdiction d'entrée sont limités au jour du prononcé du présent arrêt. De même, le signalement de l’intéressée au SIS II devra être supprimé sans délai.</w:t>
      </w:r>
    </w:p>
    <w:p>
      <w:r>
        <w:rPr>
          <w:b/>
        </w:rPr>
        <w:t>E. 8.2</w:t>
      </w:r>
    </w:p>
    <w:p>
      <w:r>
        <w:t>La recourante n’obtenant que partiellement gain de cause, il y a lieu de mettre des frais de procédure réduits à sa charge (cf. art. 63 al. 1 PA en relation avec les art. 1 à 3 du règlement du Tribunal administratif fédéral du 21 février 2008 concernant les frais, dépens et indemnités fixés par le Tribunal administratif fédéral [FITAF, RS 173.320.2]).</w:t>
      </w:r>
    </w:p>
    <w:p>
      <w:r>
        <w:rPr>
          <w:b/>
        </w:rPr>
        <w:t>E. 8.3</w:t>
      </w:r>
    </w:p>
    <w:p>
      <w:r>
        <w:t>Obtenant partiellement gain de cause, la recourante a par ailleurs droit à des dépens réduits pour les frais nécessaires et relativement élevés causés par le litige (art. 64 al. 1 PA en relation avec l'art. 7 FITAF).</w:t>
      </w:r>
    </w:p>
    <w:p>
      <w:r>
        <w:rPr>
          <w:b/>
        </w:rPr>
        <w:t>E. 8.4</w:t>
      </w:r>
    </w:p>
    <w:p>
      <w:r>
        <w:t>Le mandataire de la recourante n’a toutefois fourni aucun décompte comportant la liste des frais. Conformément à l’art. 14 al. 2 FITAF, le Tribunal, en l’absence de décompte de prestations, fixe l’indemnité sur la base du dossier. Au vu de l'ensemble des circonstances du cas et de l'ampleur du travail accompli par le mandataire de la recourante, lequel n’agit pas en qualité d’avocat inscrit au barreau, le Tribunal estime que le versement d'un montant de 400 francs (couvrant une partie des frais de représentation au sens de l’art. 9 al. 1 let. a à c FITAF, à savoir l’indemnité du mandataire professionnel n’exerçant pas la profession d’avocat, les</w:t>
      </w:r>
    </w:p>
    <w:p>
      <w:r>
        <w:t>F-7015/2023 Page 12 débours et la TVA) à titre de dépens réduits apparaît comme équitable en la présente cause (art. 8 ss FITAF). (dispositif en page suivante)</w:t>
      </w:r>
    </w:p>
    <w:p>
      <w:r>
        <w:t>F-7015/2023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