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F-7013/2016 vom 26. Juli 2017</w:t>
      </w:r>
    </w:p>
    <w:p>
      <w:r>
        <w:t>Bundesverwaltungsgericht, 2017-07-26, FR</w:t>
      </w:r>
    </w:p>
    <w:p>
      <w:r>
        <w:rPr>
          <w:b/>
        </w:rPr>
        <w:t xml:space="preserve">Quelle: </w:t>
      </w:r>
      <w:r>
        <w:t>https://mcp.opencaselaw.ch/entscheid/bvger_F-7013_2016</w:t>
      </w:r>
    </w:p>
    <w:p>
      <w:r>
        <w:t>FR: TAF F-7013/2016 du 26 juillet 2017</w:t>
      </w:r>
    </w:p>
    <w:p>
      <w:r>
        <w:t>IT: TAF F-7013/2016 del 26 luglio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Le recourant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références citées).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3.4</w:t>
      </w:r>
    </w:p>
    <w:p>
      <w:r>
        <w:t>Il est exceptionnellement admis que la communauté conjugale subsiste au sens des art. 27 et 28 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II 49 consid. 2b) et l'arrêt du Tribunal administratif fédéral C-273/2015 du 31 août 2015 consid. 6.3 et les références citées, voir également notamment SAMAH OUSMANE, in : Amarelle et al., Code annoté de droit des migrations, Vol. V : Loi sur la nationalité, 2014, n° 19s ad. art. 27 LN p. 108).</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19 octobre 2011 a été annulée par l'autorité inférieure en date du 12 octobre 2016,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par communication du 26 janvier 2016.</w:t>
      </w:r>
    </w:p>
    <w:p>
      <w:r>
        <w:rPr>
          <w:b/>
        </w:rPr>
        <w:t>E. 6</w:t>
      </w:r>
    </w:p>
    <w:p>
      <w:r>
        <w:t>A l'appui de son pourvoi, le recourant a en particulier mis en avant que malgré l'existence de domiciles séparés, il continuait à former une communauté conjugale effective et stable avec son épouse.</w:t>
      </w:r>
    </w:p>
    <w:p>
      <w:r>
        <w:rPr>
          <w:b/>
        </w:rPr>
        <w:t>E. 6.1</w:t>
      </w:r>
    </w:p>
    <w:p>
      <w:r>
        <w:t>Certes, comme relevé plus haut (cf. consid. 3.4 supra et les références citées), il peut exceptionnellement être admis que la communauté conjugale subsiste au sens des art. 27 et 28 LN, bien que les époux aient cessé d'avoir un domicile unique, pour autant que la création de domiciles séparés repose sur des circonstances extraordinaires survenues indépendamment de la volonté du couple et que la stabilité du mariage ne soit pas mise en cause.</w:t>
      </w:r>
    </w:p>
    <w:p>
      <w:r>
        <w:rPr>
          <w:b/>
        </w:rPr>
        <w:t>E. 6.2</w:t>
      </w:r>
    </w:p>
    <w:p>
      <w:r>
        <w:t>Or, le Tribunal considère que tel n'est pas le cas en l'espèce, puisqu'il ne s'agit pas d'une séparation sans incidence sur l'intensité des liens entre les époux et leur volonté de maintenir leur union conjugale. En effet, le Tribunal observe en premier lieu que B._______, qui n'est soumise à aucune obligation professionnelle, aurait pu rejoindre son mari à Montreux sans difficulté particulière. La présence de la fille et de la petite fille de la prénommée à Genève ne sont pas des raisons suffisantes pour expliquer sa volonté d'habiter seule, au détriment de sa vie de couple (cf. dossier K p. 81 et 86). En outre, le fait que le recourant se soit déclaré en résidence principale à Montreux renforce également l'idée selon laquelle ce dernier n'a pas quitté le domicile conjugal uniquement pour des raisons professionnelles (cf. dossier K p. 73). Enfin, le Tribunal relève qu'un jour seulement après que l'intéressé se soit installé à Montreux, soit le 8 mars 2012, une requête commune en divorce a été déposée devant le Tribunal de première instance du canton de Genève (cf. dossier K p. 90) et les conjoints n'ont pas repris de ménage commun depuis lors.</w:t>
      </w:r>
    </w:p>
    <w:p>
      <w:r>
        <w:rPr>
          <w:b/>
        </w:rPr>
        <w:t>E. 6.3</w:t>
      </w:r>
    </w:p>
    <w:p>
      <w:r>
        <w:t>En conclusion, la relation vécue par les époux [...] au-delà du 7 mars 2012 ne remplit pas les conditions posées à l'admission d'une exception à l'exigence du ménage commun et il y a lieu de retenir qu'au plus tard depuis lors, les intéressés ne formaient plus une communauté conjugale effective et stable au sens de l'art. 27 LN et de la jurisprudence y relative.</w:t>
      </w:r>
    </w:p>
    <w:p>
      <w:r>
        <w:rPr>
          <w:b/>
        </w:rPr>
        <w:t>E. 7</w:t>
      </w:r>
    </w:p>
    <w:p>
      <w:r>
        <w:t>A ce stade, il convient dès lors d'examiner si c'est à bon droit que le SEM a retenu que l'enchaînement chronologique rapide des faits entre la signature de la déclaration de vie commune, l'octroi de la naturalisation facilitée et la séparation des conjoints permettait de fonder la présomption selon laquelle la communauté conjugale des intéressés n'était plus stable et orientée vers l'avenir au moment de la naturalisation facilitée de A._______.</w:t>
      </w:r>
    </w:p>
    <w:p>
      <w:r>
        <w:rPr>
          <w:b/>
        </w:rPr>
        <w:t>E. 7.1</w:t>
      </w:r>
    </w:p>
    <w:p>
      <w:r>
        <w:t>A ce propos, le Tribunal relève que les époux ont contracté mariage le 25 juin 2001 à Genève. Le 20 février 2009, A._______ a déposé une demande de naturalisation facilitée et, en date du 29 août 2011, les conjoints ont signé une déclaration selon laquelle ils vivaient en communauté conjugale effective et stable. Par décision du 19 octobre 2011, le SEM a accordé la naturalisation facilitée à l'intéressé. Le 7 mars 2012, les époux ont cessé de faire ménage commun, le 8 mars 2012 une requête commune en divorce a été déposée (cf. dossier K p. 86 et p. 90) et le 28 janvier 2013, le Tribunal de première instance du canton de Genève a prononcé la dissolution du mariage des époux (cf. dossier K p. 120).</w:t>
      </w:r>
    </w:p>
    <w:p>
      <w:r>
        <w:rPr>
          <w:b/>
        </w:rPr>
        <w:t>E. 7.2</w:t>
      </w:r>
    </w:p>
    <w:p>
      <w:r>
        <w:t>Le Tribunal de céans estime que ces éléments, et en particulier le court laps de temps séparant la déclaration de vie commune (le 29 août 2011), l'octroi de la naturalisation facilitée (le 19 octobre 2011), la création de domiciles séparés (le 7 mars 2012), le dépôt d'une requête commune en divorce (le 8 mars 2012) et la dissolution du mariage des époux (le 28 janvier 2013) sont de nature à fonder la présomption de fait selon laquelle, au moment de la décision de naturalisation, la communauté conjugale des époux n'était plus stable et orientée vers l'avenir au sens de l'art. 27 LN et de la jurisprudence y relative.</w:t>
      </w:r>
    </w:p>
    <w:p>
      <w:r>
        <w:rPr>
          <w:b/>
        </w:rPr>
        <w:t>E. 8</w:t>
      </w:r>
    </w:p>
    <w:p>
      <w:r>
        <w:t>Cette présomption est en outre renforcée par d'autres éléments du dossier.</w:t>
      </w:r>
    </w:p>
    <w:p>
      <w:r>
        <w:rPr>
          <w:b/>
        </w:rPr>
        <w:t>E. 8.1</w:t>
      </w:r>
    </w:p>
    <w:p>
      <w:r>
        <w:t>A ce sujet, le Tribunal relève notamment les conditions de séjour précaires du recourant lors de son mariage avec B._______. En effet, l'intéressé - qui avait le statut de requérant d'asile débouté suite à la décision du 2 décembre 1998 - était sous le coup d'une mesure de renvoi lorsqu'il a conclu mariage avec son ex-femme le 25 juin 2001. Il ne saurait dès lors être exclu que le souhait du recourant de pouvoir s'installer à demeure dans ce pays ait pu l'influencer lorsqu'il a décidé d'épouser une personne au bénéfice de la citoyenneté helvétique, de douze ans son aînée. Le Tribunal rappelle à ce propos que si l'influence exercée par un statut précaire sur la décision des époux de se marier ne préjuge pas, à elle seule, de la volonté que les intéressés ont (ou non) de fonder une communauté conjugale effective, elle peut néanmoins constituer un indice d'abus si elle est accompagnée d'autres éléments troublants.</w:t>
      </w:r>
    </w:p>
    <w:p>
      <w:r>
        <w:rPr>
          <w:b/>
        </w:rPr>
        <w:t>E. 8.2</w:t>
      </w:r>
    </w:p>
    <w:p>
      <w:r>
        <w:t>Cela étant, on constatera que la question d'une descendance commune était un obstacle à leur union conjugale puisque, selon les déclarations de son ex-épouse, A._______ avait exprimé son désir d'avoir des enfants (cf. dossier K p. 129 R 1.9 et p. 130 R 2.1), alors que celle-ci n'était plus en âge d'en avoir. Dite affirmation n'a été contestée par le recourant ni lors de l'audition du 10 mai 2016, ni lors de sa prise de position par courrier du 13 juin 2016, alors même qu'il avait relevé d'autres inexactitudes dans ce pli. Le Tribunal de céans n'a donc aucune raison de remettre en cause le bien-fondé de ces affirmations. Or, comme relevé par le SEM, un désaccord des époux au sujet de cet élément fondamental est significatif quant à la stabilité du mariage. Au surplus, conformément à la jurisprudence du Tribunal fédéral, il n'est pas vraisemblable qu'une telle question ne soit abordée qu'après plusieurs années de mariage (cf. arrêt du Tribunal fédéral 1C_228/2009 du 31 août 2009, consid. 4). Les époux devaient dès lors avoir pris conscience, lors de la déclaration du 29 août 2011, que leurs projets familiaux étaient incompatibles.</w:t>
      </w:r>
    </w:p>
    <w:p>
      <w:r>
        <w:rPr>
          <w:b/>
        </w:rPr>
        <w:t>E. 8.3</w:t>
      </w:r>
    </w:p>
    <w:p>
      <w:r>
        <w:t>Cela étant, il convient de souligner que l'intéressé a remis en cause la crédibilité des déclarations de son ex-épouse, en se contentant de se référer à sa dépression, sans preuves à l'appui. On relèvera que cet argument n'a pas non plus été soulevé par le recourant lors de l'audition de B._______, alors qu'il était présent à cette occasion, et que les fonctionnaires chargés de l'interrogatoire n'ont émis aucun doute quant à sa capacité de discernement. Dans ces conditions, il ne peut être reproché à l'autorité inférieure de ne pas avoir donné suite à la requête du recourant tendant à l'obtention d'une attestation de l'état de santé de son ex-épouse ainsi que de son interpellation (cf. supra let. O).</w:t>
      </w:r>
    </w:p>
    <w:p>
      <w:r>
        <w:rPr>
          <w:b/>
        </w:rPr>
        <w:t>E. 8.4</w:t>
      </w:r>
    </w:p>
    <w:p>
      <w:r>
        <w:t>Au demeurant, le fait que l'intéressé se soit officiellement rendu en Ethiopie, alors qu'il avait précédemment affirmé aux autorités suisses qu'il y était persécuté, met sérieusement à mal sa crédibilité. En outre, on ne saurait passer sous silence le fait que A._______ est toujours resté en contact avec sa fille par téléphone et qu'il allait lui rendre visite en Ethiopie lors de ses vacances, en l'absence de son ex-épouse (cf. pce TAF 8 et 12). On soulignera également que D._______ ne s'est mariée avec le recourant que quelques jours après sa venue en Suisse le 25 mars 2014 (cf. dossier N p. 74 et 76). Or, même s'il est vrai que ces circonstances ne sont pas en soi déterminantes, elles renforcent le doute sur le caractère stable de l'union conjugale en août 2011.</w:t>
      </w:r>
    </w:p>
    <w:p>
      <w:r>
        <w:rPr>
          <w:b/>
        </w:rPr>
        <w:t>E. 9</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4.4 ci-avant et la jurisprudence citée).</w:t>
      </w:r>
    </w:p>
    <w:p>
      <w:r>
        <w:rPr>
          <w:b/>
        </w:rPr>
        <w:t>E. 9.1</w:t>
      </w:r>
    </w:p>
    <w:p>
      <w:r>
        <w:t>A ce propos, le recourant a essentiellement fait valoir que la séparation du couple était un choix de son ex-épouse. Cette argumentation ne saurait convaincre dès lors que selon la prénommée, ils se sont rendus ensemble au cours de l'année 2011 à la Protection juridique pour entamer une procédure de divorce (cf. dossier N p. 130 R. 2.4) et qu'en date du 8 mars 2012, une requête commune de divorce avec accord complet a été signée par le recourant également, ce qui démontre que ce dernier a accepté la rupture de son couple.</w:t>
      </w:r>
    </w:p>
    <w:p>
      <w:r>
        <w:rPr>
          <w:b/>
        </w:rPr>
        <w:t>E. 9.2</w:t>
      </w:r>
    </w:p>
    <w:p>
      <w:r>
        <w:t>On précisera également que le recourant a admis avoir signé les documents relatifs à la requête commune en divorce après mûre réflexion (cf. dossier N p. 88). Cette déclaration met en évidence le fait que le recourant avait connaissance de ses problèmes de couple bien avant la signature de la requête commune en divorce le 8 mars 2012.</w:t>
      </w:r>
    </w:p>
    <w:p>
      <w:r>
        <w:rPr>
          <w:b/>
        </w:rPr>
        <w:t>E. 9.3</w:t>
      </w:r>
    </w:p>
    <w:p>
      <w:r>
        <w:t>En outre, l'ex-femme a explicitement admis qu'aucun élément n'était intervenu postérieurement à la naturalisation facilitée de l'intéressé (cf. dossier K p. 132). Quant à l'intéressé, il n'a aucunement évoqué l'avènement d'un événement extraordinaire postérieur à la naturalisation querellée qui expliquerait une soudaine rupture.</w:t>
      </w:r>
    </w:p>
    <w:p>
      <w:r>
        <w:rPr>
          <w:b/>
        </w:rPr>
        <w:t>E. 9.4</w:t>
      </w:r>
    </w:p>
    <w:p>
      <w:r>
        <w:t>Dans ce contexte, on précisera que, selon la jurisprudence, les éventuelles difficultés qui peuvent surgir entre époux, après plusieurs années de vie commune, dans une communauté de vie effective, intacte et stable, n'entraînent la désunion, selon l'expérience générale, qu'aux termes d'un processus prolongé de dégradation des rapports conjugaux, en principe entrecoupés de tentatives de réconciliation (arrêt du TF 1C_493/2010 du 28 février 2011 consid. 6). De même, un ménage uni depuis plusieurs années ne se brise pas en quelques mois sans qu'un événement extraordinaire en soit la cause, et cela même en l'absence d'enfant, de fortune ou de dépendance financière de l'un des époux par rapport à l'autre (cf. notamment arrêt du TAF C-462/2014 du 3 février 2015 consid. 7.3.1). Cela étant, comme relevé ci-dessus (cf. supra consid. 9.1 et 9.2), les époux [...] connaissaient des problèmes conjugaux bien avant la requête commune de divorce. Or, cette dernière n'a été signée que quatre mois après l'obtention de la naturalisation facilitée du recourant.</w:t>
      </w:r>
    </w:p>
    <w:p>
      <w:r>
        <w:rPr>
          <w:b/>
        </w:rPr>
        <w:t>E. 9.5</w:t>
      </w:r>
    </w:p>
    <w:p>
      <w:r>
        <w:t>Dans ces conditions, le Tribunal considère que ces circonstances ne sont pas susceptibles d'expliquer que les époux n'aient pas maintenu des liens plus étroits, soit d'une intensité permettant de retenir que la communauté conjugale a subsisté malgré l'existence de domiciles séparés.</w:t>
      </w:r>
    </w:p>
    <w:p>
      <w:r>
        <w:rPr>
          <w:b/>
        </w:rPr>
        <w:t>E. 9.6</w:t>
      </w:r>
    </w:p>
    <w:p>
      <w:r>
        <w:t>Ainsi, à défaut d'éléments convaincants apportés par le recourant, le Tribunal est d'avis qu'il y a lieu de s'en tenir à la présomption de fait, fondée sur l'enchaînement chronologique rapide des événements, selon laquelle l'union formée par les époux ne présentait plus l'intensité et la stabilité requises au moment de la décision de naturalisation facilitée.</w:t>
      </w:r>
    </w:p>
    <w:p>
      <w:r>
        <w:rPr>
          <w:b/>
        </w:rPr>
        <w:t>E. 10</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C-4883/2015 du 15 décembre 2015 consid. 12 et la référence citée). Or, les arguments avancés par le recourant pour contester la décision de l'instance inférieure du 12 octobre 2016 ne sont pas susceptibles de justifier une telle exception.</w:t>
      </w:r>
    </w:p>
    <w:p>
      <w:r>
        <w:rPr>
          <w:b/>
        </w:rPr>
        <w:t>E. 11</w:t>
      </w:r>
    </w:p>
    <w:p>
      <w:r>
        <w:t>En vertu de l'art. 41 al. 3 LN, sauf décision expresse, l'annulation fait également perdre la nationalité suisse aux membres de la famille qui l'ont acquise en vertu de la décision annulée. En l'espèce, il ne ressort pas du dossier que le recourant aurait eu un enfant depuis l'obtention de sa naturalisation facilitée et l'intéressé n'a par ailleurs fait valoir aucun grief spécifique s'agissant de ce point du dispositif.</w:t>
      </w:r>
    </w:p>
    <w:p>
      <w:r>
        <w:rPr>
          <w:b/>
        </w:rPr>
        <w:t>E. 12</w:t>
      </w:r>
    </w:p>
    <w:p>
      <w:r>
        <w:t>Il ressort de ce qui précède que, par sa décision du 12 octobre 2016, l'autorité intimée n'a ni violé le droit fédéral, ni constaté des faits pertinents de manière inexacte ou incomplète ; en outre, cette décision n'est pas inopportune (art. 49 PA). En conséquence, le recours est rejeté.</w:t>
      </w:r>
    </w:p>
    <w:p>
      <w:r>
        <w:rPr>
          <w:b/>
        </w:rPr>
        <w:t>E. 13</w:t>
      </w:r>
    </w:p>
    <w:p>
      <w:r>
        <w:t>Par décision incidente du 30 janvier 2017, le Tribunal a mis le recourant au bénéfice de l'assistance judiciaire. Partant, il n'est pas perçu de frais de procédure. En outre, il convient d'accorder une indemnité à titre d'honoraires au mandataire de l'intéressé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Tenant compte de l'ensemble des circonstances du cas, de l'importance de l'affaire, du degré de difficulté de cette dernière et de l'ampleur du travail accompli par le mandataire, le Tribunal estime, au regard des art. 8ss FI-TAF, que le versement d'une indemnité à titre d'honoraires s'élevant à Fr. 2'000.-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