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F-69/2023 vom 25. Januar 2023</w:t>
      </w:r>
    </w:p>
    <w:p>
      <w:r>
        <w:t>Bundesverwaltungsgericht, 2023-01-25, DE</w:t>
      </w:r>
    </w:p>
    <w:p>
      <w:r>
        <w:rPr>
          <w:b/>
        </w:rPr>
        <w:t xml:space="preserve">Quelle: </w:t>
      </w:r>
      <w:r>
        <w:t>https://mcp.opencaselaw.ch/entscheid/bvger_F-69_2023</w:t>
      </w:r>
    </w:p>
    <w:p>
      <w:r>
        <w:t>FR: TAF F-69/2023 du 25 janvier 2023</w:t>
      </w:r>
    </w:p>
    <w:p>
      <w:r>
        <w:t>IT: TAF F-69/2023 del 25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Die Beschwerdeführerin macht geltend, die Vorinstanz habe ihr rechtliches Gehör verletzt, indem sie nicht genügend begründet habe, weshalb sie die Beschwerdeführerin nicht als ein Opfer von Menschenhandel erachtete.</w:t>
      </w:r>
    </w:p>
    <w:p>
      <w:r>
        <w:rPr>
          <w:b/>
        </w:rPr>
        <w:t>E. 3.1.1</w:t>
      </w:r>
    </w:p>
    <w:p>
      <w:r>
        <w:t>Der Anspruch auf rechtliches Gehör nach Art. 29 Abs. 2 BV umfasst alle Befugnisse, die einer Partei einzuräumen sind, damit sie in einem Verfahren ihren Standpunkt wirksam zur Geltung bringen kann (BGE 144 II 427 E. 3.1). Dazu gehört die Pflicht der Behörde, ihren Entscheid ausreichend und nachvollziehbar zu begründen (BGE 145 IV 99 E. 3.1; Art. 35 Abs. 1 VwVG). Die Begründung muss so abgefasst sein, dass der Betroffene den Entscheid in voller Kenntnis der Sache an die höhere Instanz weiterziehen kann. Nicht erforderlich ist, dass sich die Behörde mit allen Parteistandpunkten einlässlich auseinandersetzt und jedes einzelne Vorbringen ausdrücklich widerlegt (BGE 143 III 65 E. 5.2).</w:t>
      </w:r>
    </w:p>
    <w:p>
      <w:r>
        <w:rPr>
          <w:b/>
        </w:rPr>
        <w:t>E. 3.1.2</w:t>
      </w:r>
    </w:p>
    <w:p>
      <w:r>
        <w:t>Das SEM begründet die Verneinung von Menschenhandel damit, die entsprechenden Tatbestandselemente lägen nicht vor und es bestünden keine ausreichenden Anhaltspunkte dafür, dass die Beschwerdeführerin Opfer einer Straftat im Zusammenhang mit Menschenhandel geworden sei (siehe Sachverhalt Bst. E). Es stützt sich dabei insbesondere auf seine Abklärungen im Rahmen des Dublin-Gesprächs (SEM-act. 1202777-13/3) sowie der Anhörung Menschenhandel (SEM-act. 1202777-17/11) ab. Diese Begründung ist äusserst knapp, jedoch ausreichend im Sinn der Rechtsprechung (vgl. E. 3.1.1). Jedenfalls hätte sie es erlaubt, die Einschätzung der Vorinstanz in Frage zu stellen. Es liegt somit keine Verletzung des rechtlichen Gehörs bzw. der Begründungspflicht vor. Die Prüfung einer Verletzung von Art. 22a Bundespersonalgesetz (BPG; SR 172.220.1) und von Art. 13 des Übereinkommens zur Bekämpfung des Menschenhandels (ÜBM, SR 0.311.543) erweist sich daher als hinfällig.</w:t>
      </w:r>
    </w:p>
    <w:p>
      <w:r>
        <w:rPr>
          <w:b/>
        </w:rPr>
        <w:t>E. 3.2</w:t>
      </w:r>
    </w:p>
    <w:p>
      <w:r>
        <w:t>Die Beschwerdeführerin rügt ferner, die Vorinstanz habe ihr rechtliches Gehör verletzt, indem sie sie nicht genügend über die allfälligen Rechtsfolgen einer Nichtanerkennung als Opfer von Menschenhandel aufgeklärt und dazu angehört habe. Die Vorinstanz hat sie im Rahmen der Anhörung Menschenhandel (SEM-act. 1202777-17/11) nochmals zu den Umständen ihrer Flucht befragt. Auch hat sie die Beschwerdeführerin darauf hingewiesen, dass ihre Antworten wichtig seien für die Beurteilung ihres Anliegens durch das SEM. Die Beschwerdeführerin hat auch auf Nachfrage hin nicht darlegen können, wieso sie sich zu einigen Fragen nicht äussern wollte. Folglich wurde ihr das rechtliche Gehör gewährt.</w:t>
      </w:r>
    </w:p>
    <w:p>
      <w:r>
        <w:rPr>
          <w:b/>
        </w:rPr>
        <w:t>E. 3.3</w:t>
      </w:r>
    </w:p>
    <w:p>
      <w:r>
        <w:t>Die Beschwerdeführerin moniert, die Vorinstanz habe den Sachverhalt unvollständig festgestellt, indem sie sich nicht genügend mit der Berichterstattung zu Kroatien auseinandergesetzt habe.</w:t>
      </w:r>
    </w:p>
    <w:p>
      <w:r>
        <w:rPr>
          <w:b/>
        </w:rPr>
        <w:t>E. 3.3.1</w:t>
      </w:r>
    </w:p>
    <w:p>
      <w:r>
        <w:t>Der Untersuchungsgrundsatz betrifft die Abklärungspflicht der Behörde. Der entsprechende Beschwerdegrund erscheint in der Variante «unvollständige Feststellung des rechtserheblichen Sachverhaltes» in Art. 49 Bst. b VwVG. Er ist erfüllt, wenn die Behörde den Sachverhalt nicht von Amtes wegen abgeklärt, oder nicht alle für den Entscheid wesentlichen Sachumstände berücksichtigt hat (vgl. Benjamin Schindler, in: Kommentar zum VwVG, 2. Aufl. 2019, Art. 49 N. 29). Die Rüge, wonach die Vorinstanz sich nicht mit den Lageberichten auseinandergesetzt habe, gehört nicht zum Untersuchungsgrundsatz, sondern zur Pflicht der «richtigen» Sachverhaltsfeststellung (der entsprechende Beschwerdegrund erscheint in der ersten Variante von Art. 49 Bst. b VwVG). Diese umfasst die Pflicht der Behörde, die (erhobenen oder dargebotenen) Beweise korrekt zu würdigen und die entsprechenden Tatsachen dem Entscheid zugrunde zu legen. Anders als bei der Verletzung des Untersuchungsgrundsatzes handelt es sich bei der Rüge der unrichtigen Feststellung des rechtserheblichen Sachverhaltes nicht um eine formelle Rüge, welche ungeachtet der Erfolgsaussichten zur Aufhebung des Entscheids führt, sondern um eine materielle Rüge, die an entsprechender Stelle zu prüfen ist.</w:t>
      </w:r>
    </w:p>
    <w:p>
      <w:r>
        <w:rPr>
          <w:b/>
        </w:rPr>
        <w:t>E. 3.3.2</w:t>
      </w:r>
    </w:p>
    <w:p>
      <w:r>
        <w:t>Die Beschwerdeführerin rügt ebenfalls, die Vorinstanz habe den Sachverhalt unvollständig festgestellt, indem sie die von ihr geltend gemachte Gewaltausübung durch die kroatische Polizei nicht weiter untersucht habe.</w:t>
      </w:r>
    </w:p>
    <w:p>
      <w:r>
        <w:rPr>
          <w:b/>
        </w:rPr>
        <w:t>E. 3.3.3</w:t>
      </w:r>
    </w:p>
    <w:p>
      <w:r>
        <w:t>Entgegen der Ansicht der Beschwerdeführerin beschlägt diese Rüge ebenfalls (vgl. E. 3.3.1) die Frage nach einer unrichtigen Feststellung des Sachverhalts und ist materieller Art.</w:t>
      </w:r>
    </w:p>
    <w:p>
      <w:r>
        <w:rPr>
          <w:b/>
        </w:rPr>
        <w:t>E. 3.4</w:t>
      </w:r>
    </w:p>
    <w:p>
      <w:r>
        <w:t>Die Beschwerdeführerin rügt die unvollständige Erhebung des rechtserheblichen Sachverhalts, indem die Vorinstanz den medizinischen Sachverhalt ungenügend abgeklärt habe.</w:t>
      </w:r>
    </w:p>
    <w:p>
      <w:r>
        <w:rPr>
          <w:b/>
        </w:rPr>
        <w:t>E. 3.4.1</w:t>
      </w:r>
    </w:p>
    <w:p>
      <w:r>
        <w:t>Gemäss Akten hat sich die Beschwerdeführerin noch nicht beim Pflegedienst gemeldet. Sie gab an, sie leide an Schlafstörungen und Kopfschmerzen, wobei es ihr bessergehe (SEM-act. 1202777-17/11). Sie nehme ein Medikament ein, welches ihre Beschwerden lindere. In ihrer Beschwerdeschrift macht sie ferner psychische Probleme geltend, welche sie indes nicht weiter substantiiert. Dass die von der Beschwerdeführerin zugesicherte Nachreichung eines medizinischen Berichts neue, überstellungsrelevante Erkenntnisse zu Tage fördern würden, ist aufgrund der bisherigen Aktenlage nicht zu erwarten. Darauf durfte die Vorinstanz in antizipierter Beweiswürdigung verzichten (vgl. BGE 141 I 60 E. 3.3; 136 I 229 E. 5.3). Der Sachverhalt erweist sich mit Blick auf eine mögliche Verletzung von Art. 3 EMRK somit als hinreichend abgeklärt. Eine Verletzung des Untersuchungsgrundsatzes ist zu verneinen.</w:t>
      </w:r>
    </w:p>
    <w:p>
      <w:r>
        <w:rPr>
          <w:b/>
        </w:rPr>
        <w:t>E. 3.5</w:t>
      </w:r>
    </w:p>
    <w:p>
      <w:r>
        <w:t>Die formellen Rügen erweisen sich als unbegründet. Es besteht keine Veranlassung, die angefochtene Verfügung aufzuheben und die Sache an die Vorinstanz zurückzuweisen. Das entsprechende 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 der Weiterreise eines Antragstellers in einen anderen Mitgliedstaat bei noch nicht abgeschlossenem Zuständigkeitsverfahren Anwendung (vgl. Filzwieser/Sprung, Dublin-III-Verordnung, 2014, K. 19 zu Art. 20).</w:t>
      </w:r>
    </w:p>
    <w:p>
      <w:r>
        <w:rPr>
          <w:b/>
        </w:rPr>
        <w:t>E. 4.4</w:t>
      </w:r>
    </w:p>
    <w:p>
      <w:r>
        <w:t>Ein Abgleich der Fingerabdrücke der Beschwerdeführerin ergab, dass sie am 30. September 2022 in Kroatien daktyloskopisch erfasst wurde. Gleichentags stellte sie gemäss Auszug aus der «Eurodac»-Datenbank ein Asylgesuch. Die kroatischen Behörden stimmten dem Wiederaufnahmeersuchen der Vorinstanz gestützt auf Art. 20 Abs. 5 Dublin-III-VO zu. Somit sind sowohl die Antragsstellung in Kroatien als auch der Umstand, dass das kroatische Verfahren zur Bestimmung des für das Asylgesuch des Beschwerdeführers zuständigen Mitgliedstaats gemäss Art. 20 Abs. 5 Dublin-III-VO noch nicht abgeschlossen wurde und nach einer Rücküberstellung der Beschwerdeführerin fortgesetzt wird, als erstellt zu betrachten. Die Zuständigkeit Kroatiens ist somit grundsätzlich gegeben, was von der Beschwerdeführerin auch nicht bestritten wird.</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dazu beispielsweise die Urteile des BVGer F-28/2023 vom 11. Januar 2023 E. 5, F-3426/2022 vom 20. Dezember 2022 E. 5.5; F-5543/2022 vom 7. Dezember 2022 E. 4.2; F-1653/2022 vom 21. April 2022 E. 6.2; D-1404/2022 vom 30. März 2022; D-735/2022 vom 28. Februar 2022 E. 6.5.2; D-735/2022 vom 22. Februar 2022 E. 6.5.2). Für eine Änderung der Rechtsprechung besteht auch in Würdigung der von der Beschwerdeführerin gemachten Äusserungen zu ihrer Behandlung in Kroatien keine Veranlassung. Insbesondere ist auf die angeführten Berichte zu Push-Backs an der kroatischen Grenze und zu Verweigerung des Zugangs zum Asylverfahren nicht näher einzugehen, gab die Beschwerdeführerin doch zu Protokoll, dass sie in Kroatien gar nicht habe um Asyl ersuchen wollen und gegen ihren Willen registriert worden sei. Ausserdem sind die Verweise der Beschwerdeführerin auf das Urteil des BVGer F-5675/2021 vom 6. Januar 2022 E. 4.6f. nicht weiter behelflich, da es sich auf eine sog. «take charge» und nicht - wie vorliegend - eine «take back» Konstellation bezog.</w:t>
      </w:r>
    </w:p>
    <w:p>
      <w:r>
        <w:rPr>
          <w:b/>
        </w:rPr>
        <w:t>E. 5.2</w:t>
      </w:r>
    </w:p>
    <w:p>
      <w:r>
        <w:t>Eine Anwendung von Art. 3 Abs. 2 Dublin-III-VO ist daher nicht gerechtfertigt.</w:t>
      </w:r>
    </w:p>
    <w:p>
      <w:r>
        <w:rPr>
          <w:b/>
        </w:rPr>
        <w:t>E. 6</w:t>
      </w:r>
    </w:p>
    <w:p>
      <w:r>
        <w:t>Nachfolgend ist zu prüfen, ob - wie beantragt - das Selbsteintrittsrecht nach Art. 17 Abs. 1 erster Satz Dublin-III-VO auszuüben ist. Die Beschwerdeführerin bringt vor, sie sei in Kroatien Opfer von Menschenhandel geworden; sie und ihre Schwester seien in einem Haus eingesperrt, mehrfach misshandelt, vergewaltigt und mit dem Tod bedroht worden. Kroatien sei gemäss ihrem «Henker» («bourreau») die «destination finale» gewesen. Ausserdem habe die kroatische Polizei sie gefoltert, geschlagen und bedroht («les tortures et les menaces subies de la part de la police croate...»). Die kroatische Polizei habe denn auch nichts unternommen, um sie vor ihrem «Henker» zu beschützen. Sie fürchte sich daher davor, bei einer Wegweisung nach Kroatien ihrem «Henker» wieder ausgeliefert zu sein, zumal dieser über Kontakte zu den kroatischen Behörden verfüge.</w:t>
      </w:r>
    </w:p>
    <w:p>
      <w:r>
        <w:rPr>
          <w:b/>
        </w:rPr>
        <w:t>E. 6.1</w:t>
      </w:r>
    </w:p>
    <w:p>
      <w:r>
        <w:t>Die Beschwerdeführerin hat sich - ihren Schilderungen zufolge - nicht in den kroatischen Asylstrukturen aufgehalten. Vielmehr befand sie sich in der Gewalt eines Straftäters, dem sie und ihre Schwester entkommen konnten. Die Behauptung, ihr Peiniger habe Kontakte zu den kroatischen Behörden, erscheint wenig glaubhaft, ist aber ohnehin nicht relevant, da die Beschwerdeführerin nicht angibt, Schutz bei den Behörden gesucht zu haben. Sie vermag somit nicht darzutun, dass die ihr bei einer Rückführung nach Kroatien zu erwartenden Bedingungen derart schlecht sind, dass sie zu einer Verletzung von Art. 3 EMRK führen könnten. Bei einer allfälligen vorübergehenden Einschränkung der ihr zustehenden Aufnahmebedingungen könnte sie sich im Übrigen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Gewalt seitens der kroatischen Behörden. Im Übrigen steht der Beschwerdeführerin die Möglichkeit offen, die vor Ort tätigen karitativen Organisationen zu kontaktieren.</w:t>
      </w:r>
    </w:p>
    <w:p>
      <w:r>
        <w:rPr>
          <w:b/>
        </w:rPr>
        <w:t>E. 6.2</w:t>
      </w:r>
    </w:p>
    <w:p>
      <w:r>
        <w:t>Des Weiteren liegen keine konkreten Anhaltspunkte vor, wonach die Gesundheit der Beschwerdeführerin bei einer Überstellung nach Kroatien ernsthaft gefährdet würde. Anlässlich der Anhörung vom 19. Dezember 2022 hat sie angegeben, es gehe ihr gesundheitlich besser. Ihre geltend gemachten gesundheitlichen Beschwerden - Schlafprobleme, Kopfschmerzen und psychische Probleme (vgl. E. 3.4.1.) - sind nicht von einer derartigen Schwere, dass bei einer Überstellung nach Kroatien eine Verletzung von Art. 3 EMRK drohen würde. Auch können ihr bei Bedarf Medikamente auf Vorrat mitgegeben werden. Sollte sie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w:t>
      </w:r>
    </w:p>
    <w:p>
      <w:r>
        <w:rPr>
          <w:b/>
        </w:rPr>
        <w:t>E. 6.3</w:t>
      </w:r>
    </w:p>
    <w:p>
      <w:r>
        <w:t>Schliesslich ist nicht ersichtlich, inwiefern humanitäre Gründe einen Selbsteintritt der Schweiz gebieten würden. Die Beschwerdeführerin ist jung und leidet nicht an schweren gesundheitlichen Problemen; sie wird medikamentös behandelt und es geht ihr nach eigener Aussage besser. Die Vorinstanz hat ihr Ermessen korrekt ausgeübt. Damit erweist sich auch die Rüge, die Vorinstanz habe ihre Abklärungen nicht genügend belegt, als unbehelflich.</w:t>
      </w:r>
    </w:p>
    <w:p>
      <w:r>
        <w:rPr>
          <w:b/>
        </w:rPr>
        <w:t>E. 6.4</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7</w:t>
      </w:r>
    </w:p>
    <w:p>
      <w:r>
        <w:t>Die Vorinstanz ist demnach zu Recht gestützt auf Art. 31a Abs. 1 Bst. b AsylG auf das Asylgesuch der Beschwerdeführerin nicht eingetreten und hat die Wegweisung nach Kroatien angeordnet.</w:t>
      </w:r>
    </w:p>
    <w:p>
      <w:r>
        <w:rPr>
          <w:b/>
        </w:rPr>
        <w:t>E. 8</w:t>
      </w:r>
    </w:p>
    <w:p>
      <w:r>
        <w:t>Nach dem Gesagten ist die Beschwerde abzuweisen. Mit dem vorliegenden Urteil fällt der am 6. Januar 2023 angeordnete Vollzugsstopp dahin. Das Gesuch um Erteilung der aufschiebenden Wirkung ist gegenstandslos geworden.</w:t>
      </w:r>
    </w:p>
    <w:p>
      <w:r>
        <w:rPr>
          <w:b/>
        </w:rPr>
        <w:t>E. 9</w:t>
      </w:r>
    </w:p>
    <w:p>
      <w:r>
        <w:t>Das Gesuch um Gewährung der unentgeltlichen Prozessführung (Art. 65 Abs. 1 VwVG) ist abzuweisen, da dem Rechtsmittel - wie sich aus den vorstehenden Erwägungen ergibt - keine realistischen Erfolgschancen beschieden waren. Die Verfahrenskosten sind der Beschwerdeführerin aufzuerlegen (Art. 63 Abs. 1 VwVG) und auf insgesamt Fr. 750.- festzusetzen (Art. 1-3 des Reglements vom 21. Februar 2008 über die Kosten und Entschädigungen vor dem Bundesverwaltungsgericht [VGKE, SR 173.320.2]).</w:t>
      </w:r>
    </w:p>
    <w:p>
      <w:r>
        <w:rPr>
          <w:b/>
        </w:rPr>
        <w:t>E. 10</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