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F-69/2016 vom 20. September 2017</w:t>
      </w:r>
    </w:p>
    <w:p>
      <w:r>
        <w:t>Bundesverwaltungsgericht, 2017-09-20, DE</w:t>
      </w:r>
    </w:p>
    <w:p>
      <w:r>
        <w:rPr>
          <w:b/>
        </w:rPr>
        <w:t xml:space="preserve">Quelle: </w:t>
      </w:r>
      <w:r>
        <w:t>https://mcp.opencaselaw.ch/entscheid/bvger_F-69_2016</w:t>
      </w:r>
    </w:p>
    <w:p>
      <w:r>
        <w:t>FR: TAF F-69/2016 du 20 septembre 2017</w:t>
      </w:r>
    </w:p>
    <w:p>
      <w:r>
        <w:t>IT: TAF F-69/2016 del 20 settembre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Gastgeberin der Gesuchstellerin hat sich die Beschwerdeführerin insofern am Einspracheverfahren beteiligt, als sie zwecks Sachverhaltsfeststellung den ihr vom kantonalen Migrationsamt übersandten Fragebogen beantwortet und dabei schriftliche Garantien zugunsten ihres Gastes abgegeben hat. Die Voraussetzung der Teilnahme am vorinstanzlichen Verfahren (vgl. BVGE 2014/1 E. 1.3.2) sowie die weiteren Voraussetzungen der Beschwerdelegitimation gemäss Art. 48 Abs. 1 Bst. a - c VwVG sind damit erfüllt.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Thailand.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Thailand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Im vorliegenden Fall hat die Vorinstanz die fristgerechte und anstandslose Wiederausreise der Gesuchstellenden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In ihrer Verfügung vom 5. Januar 2016 hat die Vorinstanz auf die am 22. Mai 2014 in Thailand erfolgte Machtübernahme durch das Militär hingewiesen sowie darauf, dass nach zwischenzeitlich geltendem Kriegsrecht immer noch Einschränkungen der Versammlungs- und Pressefreiheit bestünden. Sie hat sich weiterhin zu verschiedenen terroristischen Anschlägen im Jahr 2015 geäussert; mit solchen Anschlägen müsse vermehrt auch in Zukunft gerechnet werden. Die politische Krise, so die Vorinstanz weiter, habe sich sowohl auf die makroökonomische Situation als auch auf das Wachstum des Bruttoinlandprodukts negativ ausgewirkt. Die soeben dargelegten Ausführungen sind auch nach aktueller Einschätzung im Wesentlichen zutreffend. An der seit dem Militärputsch stark eingeschränkten Versammlungs- und Meinungsfreiheit hat sich nichts geändert, und das Militär ist sowohl in der Regierung als auch im Parlament stark vertreten. Die Sicherheitslage hat sich mittlerweile stabilisiert; allerdings ereigneten sich auch im Jahr 2016 sowie im laufenden Jahr 2017 Bomben- und Brandanschläge mit Toten und Verletzten. Einhergehend mit den nach dem Putsch vom Mai 2014 angestossenen Fördermassnahmen und staatlichen Infrastrukturvorhaben ist das Bruttoinlandprodukt 2016 um 3,2 Prozent gestiegen, trägt aber nur langsam zur erhofften wirtschaftlichen Erholung bei (zu Vorstehendem: Deutsches Auswärtiges Amt, http://www.auswaertiges-amt.de &gt; Aussen- und Europapolitik &gt; Länderinformationen &gt; Thailand &gt; Innenpolitik [Stand: März 2017], Reise- und Sicherheitshinweise [Stand: September 2017] und Wirtschaft [Stand: März 2017]).</w:t>
      </w:r>
    </w:p>
    <w:p>
      <w:r>
        <w:rPr>
          <w:b/>
        </w:rPr>
        <w:t>E. 6.2</w:t>
      </w:r>
    </w:p>
    <w:p>
      <w:r>
        <w:t>Ist vor dem geschilderten Hintergrund ein vielfacher Wunsch nach Emigration nachvollziehbar, so stellt sich im Falle der Gesuchstellerin die Frage nach allfälligen persönlichen Bindungen an ihr Heimatland.</w:t>
      </w:r>
    </w:p>
    <w:p>
      <w:r>
        <w:rPr>
          <w:b/>
        </w:rPr>
        <w:t>E. 6.2.1</w:t>
      </w:r>
    </w:p>
    <w:p>
      <w:r>
        <w:t>Die Gesuchstellerin, 26 Jahre alt, ist eigenen Angaben zufolge Bäuerin. Aus einer Aktennotiz der schweizerischen Botschaft vom 9. Oktober 2015 ist ersichtlich, dass sie Mutter einer Tochter - seinerzeit fünfjährig - ist und über Ersparnisse von umgerechnet 110 Schweizer Franken verfügt. Wie sich, abgesehen davon, ihre Lebenssituation und ihre familiären Bindungen an ihrem derzeitigen Lebensmittelpunkt darstellen, lässt sich den vorinstanzlichen Akten nicht entnehmen.</w:t>
      </w:r>
    </w:p>
    <w:p>
      <w:r>
        <w:rPr>
          <w:b/>
        </w:rPr>
        <w:t>E. 6.2.2</w:t>
      </w:r>
    </w:p>
    <w:p>
      <w:r>
        <w:t>Auch die Beschwerdeführerin zeigt allfällige Umstände, welche für die Wiederausreise ihres Gastes sprechen könnten nicht auf. In ihrer Rechtsmitteleingabe und der Stellungnahme vom 30. März 2016 beharrt sie im Wesentlichen darauf, dass die Rückkehr ihrer Cousine bzw. Nichte nicht bezweifelt werden dürfe. Zwar behauptet sie, diese stehe zurzeit in einem Arbeitsverhältnis; doch selbst wenn dies zuträfe - immerhin stimmt die am 7. Februar 2016 eingereichte Einkommens- und Arbeitsbestätigung nicht mit den eigenen Angaben der Gesuchstellerin überein - spräche dieser Umstand nicht für eine grössere Wahrscheinlichkeit der Wiederausreise. Insbesondere könnte nicht davon ausgegangen werden, dass die Gesuchstellerin ihren ursprünglichen Arbeitsplatz nach 90-tägiger Ferienabwesenheit wieder einnehmen dürfte. Auf das soeben genannte Risiko des Arbeitsplatzverlusts hat auch die Vor-instanz in ihrer Vernehmlassung hingewiesen. Die Beschwerdeführerin hat diesen Einwand nicht entkräftet. Ebenso wenig geäussert hat sie sich zu der bereits in der Verfügung geäusserten Vermutung, der geplante Besuchsaufenthalt und womöglich auch ein längerer Verbleib im Ausland stünden den familiären Verpflichtungen der Gesuchstellerin nicht entgegen.</w:t>
      </w:r>
    </w:p>
    <w:p>
      <w:r>
        <w:rPr>
          <w:b/>
        </w:rPr>
        <w:t>E. 6.3</w:t>
      </w:r>
    </w:p>
    <w:p>
      <w:r>
        <w:t>Zwingende Verpflichtungen, welche die Gesuchstellerin an ihr Heimatland binden, sind folglich nicht anzunehmen. Ihr wird damit keineswegs unterstellt, ihre Heimat und ihre Tochter leichtfertig verlassen zu wollen. Allerdings kann nicht ausgeblendet werden, dass vor allem viele Frauen im jüngeren Alter emigrieren, weil sie sich in Europa bessere Lebensbedingungen erhoffen, um die zuhause verbliebenen Angehörigen finanziell besser unterstützen zu können. Dass die Gesuchstellerin mit dem geplanten Verwandtenbesuch in der Schweiz möglicherweise auch andere Ziele verfolgt, kann von daher nicht ausgeschlossen werden; immerhin hat auch ihre in der Schweiz lebende und mittlerweile eingebürgerte Tante durch Heirat hier ein Aufenthaltsrecht erlangt (vgl. Fragebogen des Kantons [Vorakten S. 59]).</w:t>
      </w:r>
    </w:p>
    <w:p>
      <w:r>
        <w:rPr>
          <w:b/>
        </w:rPr>
        <w:t>E. 6.4</w:t>
      </w:r>
    </w:p>
    <w:p>
      <w:r>
        <w:t>Die Beschwerdeführerin hat keine überzeugenden Gründe genannt, die für die anstandslose Wiederausreise der Gesuchstellerin sprechen könnten. An ihrem eigenen Wohlverhalten und der Überzeugung von einem nur befristeten Aufenthalt ihres Gastes bestehen keine Zweifel; dennoch kann darauf nicht abgestellt werden. Gastgeber können zwar für gewisse finanzielle Risiken im Zusammenhang mit einem Besuchsaufenthalt garantieren, nicht jedoch für die tatsächlichen Absichten und für ein bestimmtes Verhalten ihrer Gäste (vgl. BVGE 2009/27 E. 9).</w:t>
      </w:r>
    </w:p>
    <w:p>
      <w:r>
        <w:rPr>
          <w:b/>
        </w:rPr>
        <w:t>E. 7</w:t>
      </w:r>
    </w:p>
    <w:p>
      <w:r>
        <w:t>Vor dem aufgezeigten Hintergrund durfte die Vorinstanz zu recht annehmen, die Wiederausreise der Gesuchstellerin sei nicht gesichert. Die Vor-aussetzungen für die Erteilung eines sogenannten einheitlichen Visums - gültig für den gesamten Schengen-Raum - sind somit nicht erfüllt. Es liegen auch keine Gründe vor, welche die Ausstellung eines humanitären Visums mit räumlich beschränkter Gültigkeit rechtfertigen könnten.</w:t>
      </w:r>
    </w:p>
    <w:p>
      <w:r>
        <w:rPr>
          <w:b/>
        </w:rPr>
        <w:t>E. 8</w:t>
      </w:r>
    </w:p>
    <w:p>
      <w:r>
        <w:t>Mit der Vorinstanz ist somit davon auszugehen, dass die Gesuchstellerin die Einreisevoraussetzungen (vgl. E. 4.1) nicht erfüllt. Der angefochtene Einspracheentscheid ist daher als rechtmässig zu bestätigen (vgl. Art. 49 VwVG) und die Beschwerde folglich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