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F-6991/2018 vom 14. Oktober 2019</w:t>
      </w:r>
    </w:p>
    <w:p>
      <w:r>
        <w:t>Bundesverwaltungsgericht, 2019-10-14, DE</w:t>
      </w:r>
    </w:p>
    <w:p>
      <w:r>
        <w:rPr>
          <w:b/>
        </w:rPr>
        <w:t xml:space="preserve">Quelle: </w:t>
      </w:r>
      <w:r>
        <w:t>https://mcp.opencaselaw.ch/entscheid/bvger_F-6991_2018</w:t>
      </w:r>
    </w:p>
    <w:p>
      <w:r>
        <w:t>FR: TAF F-6991/2018 du 14 octobre 2019</w:t>
      </w:r>
    </w:p>
    <w:p>
      <w:r>
        <w:t>IT: TAF F-6991/2018 del 14 ottobre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frist- und formgerecht eingereichte Beschwerde ist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auch der Titel des Gesetzes in «Ausländer- und Integrationsgesetz» (AIG) geändert.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4.1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VZAE).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w:t>
      </w:r>
    </w:p>
    <w:p>
      <w:r>
        <w:rPr>
          <w:b/>
        </w:rPr>
        <w:t>E. 5.1</w:t>
      </w:r>
    </w:p>
    <w:p>
      <w:r>
        <w:t>Die Vorinstanz stützte sich in ihrer Verfügung vom 26. November 2018 auf Art. 67 AIG i.V.m. Art. 11 AIG und machte geltend, der Beschwerdeführer sei in der Schweiz erwerbstätig gewesen, ohne im Besitz der erforderlichen ausländerrechtlichen Bewilligung gewesen zu sein. Die Ausübung einer solchen unbewilligten Erwerbstätigkeit stelle einen Verstoss gegen die öffentliche Sicherheit und Ordnung dar.</w:t>
      </w:r>
    </w:p>
    <w:p>
      <w:r>
        <w:rPr>
          <w:b/>
        </w:rPr>
        <w:t>E. 5.2</w:t>
      </w:r>
    </w:p>
    <w:p>
      <w:r>
        <w:t>Der Beschwerdeführer bestreitet, einer illegalen Erwerbstätigkeit nachgegangen zu sein, habe er doch als Chef seiner Unternehmung nicht gearbeitet, sondern lediglich seine drei, von ihm angestellten Arbeiter auf die Baustelle gebracht, um diese entsprechend einzusetzen und zu beaufsichtigen, was er seit seiner Ausreise aus der Schweiz am 1. Juli 2018 ungefähr einmal im Monat getan habe.</w:t>
      </w:r>
    </w:p>
    <w:p>
      <w:r>
        <w:rPr>
          <w:b/>
        </w:rPr>
        <w:t>E. 5.3</w:t>
      </w:r>
    </w:p>
    <w:p>
      <w:r>
        <w:t>Derselbe Sachverhalt, welcher zur Verhängung der Fernhaltemassnahme geführt hatte, bildete auch Gegenstand des (späteren) und vom Beschwerdeführer nicht angefochtenen Strafbefehls der Staatsanwaltschaft Muri-Bremgarten vom 24. Januar 2019. In diesem Zusammenhang gilt es festzuhalten, dass sich das Bundesverwaltungsgericht grundsätzlich nicht von den tatsächlichen Feststellungen bzw. von der rechtlichen Qualifikation des Sachverhaltes in einem Straferkenntnis entfernt, wenn diese von Tatsachen abhängt, die der Strafrichter besser kennt. Die Grundsätze der Einheit der Rechtsordnung sowie der Rechtssicherheit gebieten, dass widersprüchliche Entscheide zwischen Straf- und Administrativbehörden im Rahmen des Möglichen zu vermeiden sind (BGE 139 II 95 E. 3.2; 137 I 363 E. 2.3.2; 124 II 103 E. 1c/bb; Urteil des BGer 1C_98/2017 vom 2. Juni 2017 E. 2.4; Urteil des BVGer C-3333/2011 vom 19. September 2013 E. 7.4).</w:t>
      </w:r>
    </w:p>
    <w:p>
      <w:r>
        <w:rPr>
          <w:b/>
        </w:rPr>
        <w:t>E. 5.4</w:t>
      </w:r>
    </w:p>
    <w:p>
      <w:r>
        <w:t>Der Begriff der Erwerbstätigkeit ist weit zu fassen (statt vieler: Urteil des BVGer F-15/2018 vom 22. August 2018 E. 5.1 m.w.H.). Als Erwerbstätigkeit gilt jede üblicherweise gegen Entgelt ausgeübte unselbständigeoder selbständige Tätigkeit (vgl. in diesem Zusammenhang Art. 2 VZAE), selbst wenn sie unentgeltlich erfolgte (Art. 11 Abs. 2 AIG). Eine Tätigkeit gilt dann als üblicherweise auf Entgelt gerichtet, wenn sie ihrer Art und ihrem Umfang nach auf dem schweizerischen Arbeits- und Dienstleistungsmarkt angeboten wird (statt vieler: Urteil des BVGer F-4638/2016 vom 23. Mai 2017 E. 4.4; vgl. Philipp Egli/Tobias D. Meyer, in Caroni/Gächter/Thurnherr [Hrsg.], Kommentar zum Bundesgesetz über die Ausländerinnen und Ausländer [AuG], 2010, Art. 11 N. 6).</w:t>
      </w:r>
    </w:p>
    <w:p>
      <w:r>
        <w:rPr>
          <w:b/>
        </w:rPr>
        <w:t>E. 5.5</w:t>
      </w:r>
    </w:p>
    <w:p>
      <w:r>
        <w:t>Was der Beschwerdeführer im vorliegenden Verfahren gegen den Vorwurf der illegalen Ausübung einer Erwerbstätigkeit vorbringt, verfängt nicht und steht denn auch im Widerspruch zur (späteren) Anerkennung des Vorwurfs im Strafverfahren. Entgegen seiner Auffassung handelte es sich bei der von ihm geltend gemachten Kontrolle der Arbeitsausführung seiner Angestellten fraglos um eine bewilligungspflichtige Erwerbstätigkeit im Sinne von Art. 11 Abs. 2 AIG.</w:t>
      </w:r>
    </w:p>
    <w:p>
      <w:r>
        <w:rPr>
          <w:b/>
        </w:rPr>
        <w:t>E. 5.6</w:t>
      </w:r>
    </w:p>
    <w:p>
      <w:r>
        <w:t>Somit darf als erstellt gelten, dass der Beschwerdeführer vorsätzlich einer Erwerbstätigkeit ohne Bewilligung nachgegangen ist (Art. 115 Abs. 1 Bst. c AIG) und sich gleichzeitig rechtswidrig in der Schweiz aufgehalten hat (Art. 115 Abs. 1 Bst. b AIG). Daran ändert nichts, dass die Vorinstanz ihren Entscheid lediglich mit der illegalen Erwerbstätigkeit begründet hat, bleibt es dem Gericht vorliegend unbenommen, auch - wie die Strafbehörde - auf den unrechtmässigen Aufenthalt als Grund für die Verhängung eines Einreiseverbots abzustellen (BVGE 2007/41 E. 2; Urteil des BVGer F-5721/2017 vom 9. März 2018 E. 6.5 m.H.). Der Beschwerdeführer hat somit ohne Zweifel gegen die öffentliche Sicherheit und Ordnung verstossen (Art. 67 Abs. 2 Bst. a AuG, Art. 77a Abs. 1 Bst. a VZAE]). Vorliegend besteht kein Anlass, von den Tatsachenfeststellungen und der rechtlichen Würdigung im Strafbefehl vom 24. Januar 2019 abzuweichen.</w:t>
      </w:r>
    </w:p>
    <w:p>
      <w:r>
        <w:rPr>
          <w:b/>
        </w:rPr>
        <w:t>E. 6.1</w:t>
      </w:r>
    </w:p>
    <w:p>
      <w:r>
        <w:t>Es bleibt zu prüfen, ob die Massnahme in richtiger Ausübung des Ermessens ergangen und angemessen ist.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Der Beschwerdeführer ging in der Schweiz - wie festgestellt - ohne Bewilligung einer Erwerbstätigkeit nach, wobei er sich gleichzeitig des rechtswidrigen Aufenthalts schuldig machte. Dieses Fehlverhalten wiegt objektiv gesehen nicht leicht. Es beinhaltet eine Missachtung ausländerrechtlicher Normen, denen im Interesse einer funktionierenden Rechtsordnung eine zentrale Bedeutung zukommt. Namentlich das generalpräventiv motivierte Interesse, die ausländerrechtliche Ordnung durch eine konsequente Massnahmenpraxis zu schützen, ist als gewichtig einzustufen (vgl. Urteil des BGer 2C_948/2011 vom 11. Juli 2012 E. 3.4.2 in fine; Urteil des BVGer F-1473/2016 vom 15. Mai 2017 E. 5.2). Tritt hinzu, dass aus dem bisherigen Verhalten des Beschwerdeführers durchaus auf eine Gefährdung der öffentlichen Sicherheit und Ordnung zu schliessen ist, weshalb dem Einreiseverbot auch spezialpräventiver Charakter zukommt (vgl. anstelle vieler Urteil des BVGer F-1645/2016 vom 12. Januar 2017 E. 6.2 m.H.). Wie bereits erwähnt (vgl. Bst. G des Sachverhalts), reiste der Beschwerdeführer nämlich ungeachtet der bestehenden Fernhaltemassnahme am 18. Mai 2019 von Italien in die Schweiz ein, wo er sich bis zu seiner polizeilichen Anhaltung am andern Tag rechtswidrig aufhielt, was zu einer weiteren strafrechtlichen Verurteilung führte. Das öffentliche Interesse an einer zeitweiligen Fernhaltung des Beschwerdeführers ist demnach als gewichtig anzusehen (vgl. Urteil des BVGer F-689/2018 vom 17. August 2018 E. 8.2 m.H.).</w:t>
      </w:r>
    </w:p>
    <w:p>
      <w:r>
        <w:rPr>
          <w:b/>
        </w:rPr>
        <w:t>E. 6.3</w:t>
      </w:r>
    </w:p>
    <w:p>
      <w:r>
        <w:t>Die vom Beschwerdeführer geäusserten Interessen daran, weiterhin ohne besondere Restriktionen in die Schweiz einreisen zu können, beziehen sich lediglich auf dessen geschäftliche Tätigkeit in der Schweiz, welche jedoch - wie oben dargelegt - ohne Arbeitsbewilligung nicht möglich ist. Weitere (private) Interessen werden vom ihm nicht geltend gemacht.</w:t>
      </w:r>
    </w:p>
    <w:p>
      <w:r>
        <w:rPr>
          <w:b/>
        </w:rPr>
        <w:t>E. 6.4</w:t>
      </w:r>
    </w:p>
    <w:p>
      <w:r>
        <w:t>Eine wertende Gewichtung der sich entgegenstehenden Interessen führt das Bundesverwaltungsgericht zum Schluss, dass das auf lediglich ein Jahr befristete Einreiseverbot sowohl vom Grundsatz her als auch in Bezug auf seine Dauer eine verhältnismässige und angemessene Massnahme zum Schutz der öffentlichen Sicherheit und Ordnung darstellt. Angesichts der in der Zwischenzeit erfolgten Missachtung der Fernhaltemassnahme durch den Beschwerdeführer und somit eines erneuten (vorsätzlichen) Verstosses gegen ausländerrechtliche Vorschriften, bleibt es der Vorinstanz hingegen unbenommen zu prüfen, ob sich vor diesem Hintergrund allenfalls die Verhängung einer Anschlusssperre rechtfertigt.</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wird der unterliegende Beschwerdeführer kostenpflichtig (vgl. Art. 63 Abs. 1 VwVG). Die Verfahrenskosten sind auf Fr. 800.-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