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F-6972/2018 vom 10. Februar 2020</w:t>
      </w:r>
    </w:p>
    <w:p>
      <w:r>
        <w:t>Bundesverwaltungsgericht, 2020-02-10, FR</w:t>
      </w:r>
    </w:p>
    <w:p>
      <w:r>
        <w:rPr>
          <w:b/>
        </w:rPr>
        <w:t xml:space="preserve">Quelle: </w:t>
      </w:r>
      <w:r>
        <w:t>https://mcp.opencaselaw.ch/entscheid/bvger_F-6972_2018</w:t>
      </w:r>
    </w:p>
    <w:p>
      <w:r>
        <w:t>FR: TAF F-6972/2018 du 10 février 2020</w:t>
      </w:r>
    </w:p>
    <w:p>
      <w:r>
        <w:t>IT: TAF F-6972/2018 del 10 febbraio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 sous réserve des recours déposés par des ressortissants d'un Etat membre de l'Union européenne, compte tenu de l'obligation pour la Suisse, prévue à l'art. 11 al. 1 et 3 ALCP [RS 0.142.112.681], d'instaurer un double degré de juridiction contre de telles décisions lorsqu'elles visent un ressortissant d'un Etat membre de l'Union européenne (cf. arrêt du Tribunal fédéral 2C_135/2017 du 21 février 2017 consid. 5 et jurisprudence citée).</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Dans son mémoire de recours, A._______ a fait valoir une violation de son droit d'être entendu, au motif que le SEM ne lui aurait pas donné l'occasion de présenter ses déterminations avant le prononcé de la décision du 23 août 2017 et qu'il n'aurait, en outre, pas pu se déterminer utilement sur cette question lors de son audition du 28 juillet 2017 par le Corps des garde-frontière à Genève-Cointrin. Il a allégué à ce propos que cette audition s'était déroulée sans l'assistance d'un interprète et que le formulaire intitulé « Diritto di essere sentiti nel quadro delle misure del rifiuto d'entrata e d'allontanamento » lui avait certes été remis en langue italienne, mais qu'il n'avait pas disposé du temps et des conditions nécessaires à faire valoir son droit d'être entendu sur l'éventuel prononcé d'une interdiction d'entrée à son encontre.</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132 II 485 consid. 3; 126 I 7 consid. 2b; 124 II 132 consid. 2b, et la jurisprudence citée; ATAF 2010/53 consid. 13.1).</w:t>
      </w:r>
    </w:p>
    <w:p>
      <w:r>
        <w:rPr>
          <w:b/>
        </w:rPr>
        <w:t>E. 3.3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ATF 134 I 140 consid. 5.5).</w:t>
      </w:r>
    </w:p>
    <w:p>
      <w:r>
        <w:rPr>
          <w:b/>
        </w:rPr>
        <w:t>E. 3.4</w:t>
      </w:r>
    </w:p>
    <w:p>
      <w:r>
        <w:t>En l'espèce, le Tribunal constate que le recourant a fait l'objet, le 28 juillet 2017, d'un contrôle par le Corps des garde-frontière, contrôle qui s'est déroulé en langue française. Lors de ce contrôle, le Corps des garde-frontière a remis à l'intéressé le document « Diritto di essere sentiti nel quadro delle misure del rifiuto d'entrata e d'allontanamento », dans lequel étaient consignés, en langue italienne, les faits essentiels relevés à l'occasion de ce contrôle, soit notamment les données personnelles de l'intéressé, ainsi que le constat que celui-ci avait dépassé la durée autorisée de séjour dans l'Espace Schengen (cf. ch. 4, let. F). Ce document comportait également une rubrique (5) intitulée « Misura di respingimento Misura di allontanamento ", dans laquelle l'intéressé a été informé que, sur la base des faits constatés, les autorités compétentes étaient susceptibles de prononcer à son endroit une mesure d'éloignement (interdiction d'entrée) valable pour l'Espace Schengen. Ce document comportait au surplus une rubrique « Dichiarazione », dans laquelle l'intéressé a été invité à déposer ses observations sur l'éventuel prononcé d'une décision d'interdiction d'entrée à son endroit.</w:t>
      </w:r>
    </w:p>
    <w:p>
      <w:r>
        <w:rPr>
          <w:b/>
        </w:rPr>
        <w:t>E. 3.5</w:t>
      </w:r>
    </w:p>
    <w:p>
      <w:r>
        <w:t>Il ressort de ce qui précède que le Corps des garde-frontière de Genève Cointrin a respecté les formes requises pour le contrôle auquel il a procédé et qu'il a permis à l'intéressé d'exercer utilement son droit d'être entendu en lui communiquant le formulaire « Diritto di essere sentiti nel quadro delle misure del rifiuto d'entrata e d'allontanamento », dans l'une des langues (soit l'italien et l'espagnol) qu'il maîtrisait. Les bonnes connaissances, par l'intéressé, de la langue italienne se trouvent à cet égard confirmées par ses déclarations lors de son audition du 8 novembre 2018 par la Police de Carouge, au cours de laquelle il a indiqué vivre depuis près de cinq ans à Rome. Dans ces circonstances, l'argumentation tirée de l'absence d'interprète lors du contrôle dont le recourant a fait l'objet par le Corps des garde-frontière n'est guère pertinent à remettre en cause sa faculté à comprendre un document rédigé dans une langue qu'il pratiquait alors depuis plusieurs années. Le Tribunal considère enfin que l'argument selon lequel le recourant n'aurait pas disposé du temps nécessaire pour déposer ses déterminations sur le document « Diritto di essere sentiti nel quadro delle misure del rifiuto d'entrata e d'allontanamento » ne repose sur aucun élément fiable, la durée de cinq minutes dont il prétend avoir disposé pour prendre connaissance de ce document et y apposer d'éventuelles déterminations apparaissant suffisant, compte tenu du fait qu'il n'a pas souhaité y apposer des observations et qu'il a refusé de le signer. Le Tribunal est dès lors amené à considérer que le recourant a disposé, lors de son contrôle du 28 juillet 2017, de la possibilité de se prononcer sur les faits qui lui étaient reprochés (soit le dépassement de la durée de séjour autorisé dans l'Espace Schengen) avant le prononcé de la décision querellée et que le SEM ne s'est, en conséquence, pas rendu coupable d'une violation de son droit d'être entendu en fondant sa décision sur les faits constatés par le Corps des garde-frontière lors de ce contrôle, soit qu'il avait séjourné dans l'Espace Schengen bien après l'expiration de la durée du séjour soumis à autorisation, soit depuis le 1er novembre 2013 (soit 1366 jours de dépassement du séjour autorisé).</w:t>
      </w:r>
    </w:p>
    <w:p>
      <w:r>
        <w:rPr>
          <w:b/>
        </w:rPr>
        <w:t>E. 4.1</w:t>
      </w:r>
    </w:p>
    <w:p>
      <w:r>
        <w:t>S'agissant du fond de la cause, le SEM a prononcé à l'endroit de A._______ une décision d'interdiction d'entrée d'une durée de trois ans, au motif qu'il avait séjourné dans l'Espace Schengen bien après l'expiration de la durée du séjour non soumis à autorisation, soit depuis le 1er novembre 2013 et qu'il avait ainsi attenté à la sécurité et à l'ordre publics au sens de l'art. 67 al. 2 let. a LEtr.</w:t>
      </w:r>
    </w:p>
    <w:p>
      <w:r>
        <w:rPr>
          <w:b/>
        </w:rPr>
        <w:t>E. 4.2</w:t>
      </w:r>
    </w:p>
    <w:p>
      <w:r>
        <w:t>L'examen du dossier amène le Tribunal à constater que les faits reprochés à l'intéressé sont établis et n'ont d'ailleurs pas été contestés en procédure de recours. Il doit donc être retenu que le recourant a violé, sur une période prolongée, des dispositions du droit des étrangers nécessaires pour garantir le bon fonctionnement de l'ordre juridique suisse. Or, selon la jurisprudence constante du Tribunal de céans, le fait d'entrer, de séjourner ou de travailler en Suisse sans autorisation représente une violation grave des prescriptions de police des étrangers (cf. notamment arrêt du TAF F-1080/2019 consid. 6.2 et la jurisprudence citée). Aussi, force est d'admettre que l'interdiction d'entrée prononcée le 23 août 2017 en application de l'art. 67 al. 2 let. a LEtr est parfaitement justifiée dans son principe. 5.Il convient encore d'examiner si la mesure d'éloignement prise par l'autorité intimée satisfait aux principes de proportionnalité et de l'égalité de traitement. 5.1 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consid. 6.1 et la jurisprudence citée). 5.2 En l'espèce, s'agissant de l'intérêt public à l'éloignement du recourant de Suisse, le Tribunal observe que les motifs retenus à l'appui de la mesure d'éloignement prise à l'endroit de A._______ ne sauraient être contestés et ne sont pas remis en cause dans le recours.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l'arrêt du Tribunal administratif fédéral F-5267/2015 consid. 6.3 et la référence citée). 5.3 Aussi, compte tenu de l'ensemble des éléments objectifs et subjectifs de la cause, le Tribunal est amené à conclure que la mesure d'éloignement prononcée par l'autorité inférieure le 23 août 2017 est nécessaire et adéquate afin de prévenir toute nouvelle atteinte à la sécurité et à l'ordre publics en Suisse. En outre, la durée de la mesure respecte le principe de proportionnalité et correspond à celle prononcée dans des cas analogues (cf. à cet égard par exemple l'arrêt du Tribunal du 21 mai 2019 dans la cause F-6416/2018). 5.4 En outre, le Tribunal constate qu'il n'existe pas de raisons humanitaires ou d'autres motifs importants justifiant l'abstention ou la suspension de la mesure d'éloignement au sens de de l'art. 67 al. 5 LEtr.</w:t>
      </w:r>
    </w:p>
    <w:p>
      <w:r>
        <w:rPr>
          <w:b/>
        </w:rPr>
        <w:t>E. 6</w:t>
      </w:r>
    </w:p>
    <w:p>
      <w:r>
        <w:t>Dans le cas d'espèce, un signalement au SIS est par ailleurs justifié par les faits retenus et satisfait au principe de proportionnalité (cf. art. 24 al. 2 du règlement [CE] n° 1987/2006 du Parlement européen et du Conseil du 20 décembre 2006 sur l'établissement, le fonctionnement et l'utilisation du système d'information Schengen de deuxième génération [JO L 381 du 28 décembre 2006 pp. 4 à 23]). Le recourant n'a par ailleurs, ni allégué, ni établi, dans le cadre de la présente procédure, qu'il serait titulaire d'un titre de séjour dans un pays de l'Espace Schengen. 7.Eu égard aux considérants qui précèdent, le Tribunal est amené à conclure que la décision querellée est conforme au droit (cf. art. 49 PA). Le recours est en conséquence rejeté. Au vu de l'issue de la cause,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